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142" w:firstLine="425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Графический обзор  лиц с выявленными факторами риска </w:t>
      </w:r>
    </w:p>
    <w:p>
      <w:pPr>
        <w:pStyle w:val="Normal"/>
        <w:spacing w:lineRule="auto" w:line="240" w:before="0" w:after="0"/>
        <w:ind w:left="142" w:firstLine="425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за </w:t>
      </w:r>
      <w:r>
        <w:rPr>
          <w:rFonts w:cs="Times New Roman" w:ascii="Times New Roman" w:hAnsi="Times New Roman"/>
          <w:b/>
          <w:sz w:val="28"/>
          <w:szCs w:val="28"/>
        </w:rPr>
        <w:t>1</w:t>
      </w:r>
      <w:r>
        <w:rPr>
          <w:rFonts w:cs="Times New Roman" w:ascii="Times New Roman" w:hAnsi="Times New Roman"/>
          <w:b/>
          <w:sz w:val="28"/>
          <w:szCs w:val="28"/>
        </w:rPr>
        <w:t xml:space="preserve"> квартал 202</w:t>
      </w:r>
      <w:r>
        <w:rPr>
          <w:rFonts w:cs="Times New Roman" w:ascii="Times New Roman" w:hAnsi="Times New Roman"/>
          <w:b/>
          <w:sz w:val="28"/>
          <w:szCs w:val="28"/>
        </w:rPr>
        <w:t>2</w:t>
      </w:r>
      <w:r>
        <w:rPr>
          <w:rFonts w:cs="Times New Roman" w:ascii="Times New Roman" w:hAnsi="Times New Roman"/>
          <w:b/>
          <w:sz w:val="28"/>
          <w:szCs w:val="28"/>
        </w:rPr>
        <w:t xml:space="preserve"> года</w:t>
      </w:r>
    </w:p>
    <w:p>
      <w:pPr>
        <w:pStyle w:val="Normal"/>
        <w:spacing w:lineRule="auto" w:line="240" w:before="0" w:after="0"/>
        <w:ind w:left="142" w:firstLine="425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данным комплексного скринингового обследования в «Центре здоровья» ОГБУЗ «Центр общественного здоровья и медицинской профилактики города Старого Оскола»).</w:t>
      </w:r>
    </w:p>
    <w:p>
      <w:pPr>
        <w:pStyle w:val="Normal"/>
        <w:spacing w:lineRule="auto" w:line="240" w:before="0"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9694" w:leader="none"/>
        </w:tabs>
        <w:spacing w:lineRule="auto" w:line="240" w:before="0" w:after="0"/>
        <w:ind w:left="1287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Всего обследовано </w:t>
      </w:r>
      <w:r>
        <w:rPr>
          <w:rFonts w:cs="Times New Roman" w:ascii="Times New Roman" w:hAnsi="Times New Roman"/>
          <w:sz w:val="28"/>
          <w:szCs w:val="28"/>
        </w:rPr>
        <w:t>2134</w:t>
      </w:r>
      <w:r>
        <w:rPr>
          <w:rFonts w:cs="Times New Roman" w:ascii="Times New Roman" w:hAnsi="Times New Roman"/>
          <w:sz w:val="28"/>
          <w:szCs w:val="28"/>
        </w:rPr>
        <w:t xml:space="preserve"> человек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. Из них: мужчин – </w:t>
      </w:r>
      <w:r>
        <w:rPr>
          <w:rFonts w:cs="Times New Roman" w:ascii="Times New Roman" w:hAnsi="Times New Roman"/>
          <w:sz w:val="28"/>
          <w:szCs w:val="28"/>
        </w:rPr>
        <w:t>886</w:t>
      </w:r>
      <w:r>
        <w:rPr>
          <w:rFonts w:cs="Times New Roman" w:ascii="Times New Roman" w:hAnsi="Times New Roman"/>
          <w:sz w:val="28"/>
          <w:szCs w:val="28"/>
        </w:rPr>
        <w:t xml:space="preserve">,   женщин – </w:t>
      </w:r>
      <w:r>
        <w:rPr>
          <w:rFonts w:cs="Times New Roman" w:ascii="Times New Roman" w:hAnsi="Times New Roman"/>
          <w:sz w:val="28"/>
          <w:szCs w:val="28"/>
        </w:rPr>
        <w:t>1248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0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Times New Roman" w:hAnsi="Times New Roman" w:eastAsia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Всего выявлено лиц с факторами риска в процентах</w:t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001260" cy="2804160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Распределение факторов риска в процентах среди женщин</w:t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/>
        <w:drawing>
          <wp:inline distT="0" distB="0" distL="0" distR="0">
            <wp:extent cx="4884420" cy="319151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Распределение факторов риска в процентах среди мужчин</w:t>
      </w:r>
    </w:p>
    <w:p>
      <w:pPr>
        <w:pStyle w:val="Normal"/>
        <w:tabs>
          <w:tab w:val="clear" w:pos="708"/>
          <w:tab w:val="left" w:pos="6379" w:leader="none"/>
        </w:tabs>
        <w:spacing w:lineRule="auto" w:line="240" w:before="0" w:after="0"/>
        <w:jc w:val="center"/>
        <w:rPr>
          <w:rFonts w:ascii="Times New Roman" w:hAnsi="Times New Roman" w:eastAsia="Times New Roman"/>
          <w:i/>
          <w:i/>
          <w:sz w:val="24"/>
          <w:szCs w:val="24"/>
        </w:rPr>
      </w:pPr>
      <w:r>
        <w:rPr>
          <w:rFonts w:eastAsia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center"/>
        <w:rPr/>
      </w:pPr>
      <w:r>
        <w:rPr/>
        <w:drawing>
          <wp:inline distT="0" distB="0" distL="0" distR="0">
            <wp:extent cx="5184140" cy="2999105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ОГБУЗ «Центр общественного здоровья и медицинской </w:t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профилактики г. Старый Оскол »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Зав. отделом мониторинга факторов риска врач-терапевт Смольникова Л.А. </w:t>
      </w:r>
    </w:p>
    <w:p>
      <w:pPr>
        <w:pStyle w:val="Normal"/>
        <w:tabs>
          <w:tab w:val="clear" w:pos="708"/>
          <w:tab w:val="left" w:pos="6015" w:leader="none"/>
        </w:tabs>
        <w:spacing w:before="0" w:after="0"/>
        <w:jc w:val="right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 xml:space="preserve">Медицинский статистик  отдела мониторинга здоровья Н.А.Мартынова </w:t>
      </w:r>
    </w:p>
    <w:sectPr>
      <w:type w:val="nextPage"/>
      <w:pgSz w:w="11906" w:h="16838"/>
      <w:pgMar w:left="907" w:right="851" w:header="0" w:top="680" w:footer="0" w:bottom="68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03b0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611839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118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0bbb"/>
    <w:pPr>
      <w:spacing w:lineRule="auto" w:line="24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9720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unhideWhenUsed/>
    <w:rsid w:val="00ec55c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4f81b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5.6</c:v>
                </c:pt>
                <c:pt idx="1">
                  <c:v>14.5</c:v>
                </c:pt>
                <c:pt idx="2">
                  <c:v>7.7</c:v>
                </c:pt>
                <c:pt idx="3">
                  <c:v>40.1</c:v>
                </c:pt>
                <c:pt idx="4">
                  <c:v>25.5</c:v>
                </c:pt>
                <c:pt idx="5">
                  <c:v>33.3</c:v>
                </c:pt>
                <c:pt idx="6">
                  <c:v>0</c:v>
                </c:pt>
                <c:pt idx="7">
                  <c:v>8.6</c:v>
                </c:pt>
                <c:pt idx="8">
                  <c:v>13.5</c:v>
                </c:pt>
              </c:numCache>
            </c:numRef>
          </c:val>
        </c:ser>
        <c:gapWidth val="150"/>
        <c:shape val="cylinder"/>
        <c:axId val="11463012"/>
        <c:axId val="80905341"/>
        <c:axId val="0"/>
      </c:bar3DChart>
      <c:catAx>
        <c:axId val="11463012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80905341"/>
        <c:crosses val="autoZero"/>
        <c:auto val="1"/>
        <c:lblAlgn val="ctr"/>
        <c:lblOffset val="100"/>
        <c:noMultiLvlLbl val="0"/>
      </c:catAx>
      <c:valAx>
        <c:axId val="80905341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1463012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2844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layout>
        <c:manualLayout>
          <c:layoutTarget val="inner"/>
          <c:xMode val="edge"/>
          <c:yMode val="edge"/>
          <c:x val="0.4535625"/>
          <c:y val="0.082"/>
          <c:w val="0.4035"/>
          <c:h val="0.77255555555555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c0504d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4.8</c:v>
                </c:pt>
                <c:pt idx="1">
                  <c:v>16.1</c:v>
                </c:pt>
                <c:pt idx="2">
                  <c:v>8.3</c:v>
                </c:pt>
                <c:pt idx="3">
                  <c:v>43</c:v>
                </c:pt>
                <c:pt idx="4">
                  <c:v>26.1</c:v>
                </c:pt>
                <c:pt idx="5">
                  <c:v>33.4</c:v>
                </c:pt>
                <c:pt idx="6">
                  <c:v>0</c:v>
                </c:pt>
                <c:pt idx="7">
                  <c:v>4.5</c:v>
                </c:pt>
                <c:pt idx="8">
                  <c:v>9.9</c:v>
                </c:pt>
              </c:numCache>
            </c:numRef>
          </c:val>
        </c:ser>
        <c:gapWidth val="150"/>
        <c:shape val="cylinder"/>
        <c:axId val="72504963"/>
        <c:axId val="28589294"/>
        <c:axId val="0"/>
      </c:bar3DChart>
      <c:catAx>
        <c:axId val="72504963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8589294"/>
        <c:crosses val="autoZero"/>
        <c:auto val="1"/>
        <c:lblAlgn val="ctr"/>
        <c:lblOffset val="100"/>
        <c:noMultiLvlLbl val="0"/>
      </c:catAx>
      <c:valAx>
        <c:axId val="28589294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72504963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1908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view3D>
      <c:rotX val="15"/>
      <c:rotY val="20"/>
      <c:rAngAx val="1"/>
      <c:perspective val="30"/>
    </c:view3D>
    <c:floor>
      <c:spPr>
        <a:noFill/>
        <a:ln w="9360">
          <a:solidFill>
            <a:srgbClr val="878787"/>
          </a:solidFill>
          <a:round/>
        </a:ln>
      </c:spPr>
    </c:floor>
    <c:sideWall>
      <c:spPr>
        <a:noFill/>
        <a:ln w="9360">
          <a:solidFill>
            <a:srgbClr val="878787"/>
          </a:solidFill>
          <a:round/>
        </a:ln>
      </c:spPr>
    </c:sideWall>
    <c:backWall>
      <c:spPr>
        <a:noFill/>
        <a:ln w="9360">
          <a:solidFill>
            <a:srgbClr val="878787"/>
          </a:solidFill>
          <a:round/>
        </a:ln>
      </c:spPr>
    </c:backWall>
    <c:plotArea>
      <c:bar3D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rgbClr val="17375e"/>
            </a:solidFill>
            <a:ln w="0">
              <a:noFill/>
            </a:ln>
          </c:spPr>
          <c:invertIfNegative val="0"/>
          <c:dLbls>
            <c:numFmt formatCode="General" sourceLinked="0"/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9"/>
                <c:pt idx="0">
                  <c:v>Высокий суммарный риск ССЗ</c:v>
                </c:pt>
                <c:pt idx="1">
                  <c:v>Дислипидемия</c:v>
                </c:pt>
                <c:pt idx="2">
                  <c:v>Стресс</c:v>
                </c:pt>
                <c:pt idx="3">
                  <c:v>Нерациональное питание</c:v>
                </c:pt>
                <c:pt idx="4">
                  <c:v>Низкая физическая активность</c:v>
                </c:pt>
                <c:pt idx="5">
                  <c:v>Избыточная масса тела</c:v>
                </c:pt>
                <c:pt idx="6">
                  <c:v>Риск пагубного употребления алкоголя</c:v>
                </c:pt>
                <c:pt idx="7">
                  <c:v>Курение табака</c:v>
                </c:pt>
                <c:pt idx="8">
                  <c:v>Повышенный уровень АД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9"/>
                <c:pt idx="0">
                  <c:v>6.7</c:v>
                </c:pt>
                <c:pt idx="1">
                  <c:v>12.4</c:v>
                </c:pt>
                <c:pt idx="2">
                  <c:v>6.9</c:v>
                </c:pt>
                <c:pt idx="3">
                  <c:v>35.9</c:v>
                </c:pt>
                <c:pt idx="4">
                  <c:v>24.6</c:v>
                </c:pt>
                <c:pt idx="5">
                  <c:v>33.2</c:v>
                </c:pt>
                <c:pt idx="6">
                  <c:v>0</c:v>
                </c:pt>
                <c:pt idx="7">
                  <c:v>14.5</c:v>
                </c:pt>
                <c:pt idx="8">
                  <c:v>18.7</c:v>
                </c:pt>
              </c:numCache>
            </c:numRef>
          </c:val>
        </c:ser>
        <c:gapWidth val="150"/>
        <c:shape val="cylinder"/>
        <c:axId val="95867737"/>
        <c:axId val="39434615"/>
        <c:axId val="0"/>
      </c:bar3DChart>
      <c:catAx>
        <c:axId val="95867737"/>
        <c:scaling>
          <c:orientation val="minMax"/>
        </c:scaling>
        <c:delete val="0"/>
        <c:axPos val="b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9434615"/>
        <c:crosses val="autoZero"/>
        <c:auto val="1"/>
        <c:lblAlgn val="ctr"/>
        <c:lblOffset val="100"/>
        <c:noMultiLvlLbl val="0"/>
      </c:catAx>
      <c:valAx>
        <c:axId val="39434615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5867737"/>
        <c:crosses val="autoZero"/>
        <c:crossBetween val="between"/>
      </c:valAx>
    </c:plotArea>
    <c:legend>
      <c:legendPos val="r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19080">
      <a:solidFill>
        <a:srgbClr val="d9d9d9"/>
      </a:solidFill>
      <a:round/>
    </a:ln>
  </c:spPr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C8E9D-DBED-402B-8DEF-5F2FF6BE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Application>LibreOffice/7.1.0.3$Windows_X86_64 LibreOffice_project/f6099ecf3d29644b5008cc8f48f42f4a40986e4c</Application>
  <AppVersion>15.0000</AppVersion>
  <Pages>2</Pages>
  <Words>88</Words>
  <Characters>589</Characters>
  <CharactersWithSpaces>1012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2018-04-13T11:19:00Z</dcterms:created>
  <dc:creator>user</dc:creator>
  <dc:description/>
  <dc:language>ru-RU</dc:language>
  <cp:lastModifiedBy/>
  <cp:lastPrinted>2022-04-14T10:54:01Z</cp:lastPrinted>
  <dcterms:modified xsi:type="dcterms:W3CDTF">2022-04-14T10:54:25Z</dcterms:modified>
  <cp:revision>74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