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0186" w14:textId="5A6982B5" w:rsidR="00B03F36" w:rsidRDefault="00B668C6" w:rsidP="00F46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0D">
        <w:rPr>
          <w:rFonts w:ascii="Times New Roman" w:hAnsi="Times New Roman" w:cs="Times New Roman"/>
          <w:b/>
          <w:sz w:val="24"/>
          <w:szCs w:val="24"/>
        </w:rPr>
        <w:t xml:space="preserve">Аналитический обзор по результатам данных </w:t>
      </w:r>
      <w:proofErr w:type="spellStart"/>
      <w:r w:rsidRPr="004F070D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4F070D">
        <w:rPr>
          <w:rFonts w:ascii="Times New Roman" w:hAnsi="Times New Roman" w:cs="Times New Roman"/>
          <w:b/>
          <w:sz w:val="24"/>
          <w:szCs w:val="24"/>
        </w:rPr>
        <w:t xml:space="preserve"> – социологического исследования среди разновозрастных групп населения </w:t>
      </w:r>
      <w:proofErr w:type="spellStart"/>
      <w:r w:rsidRPr="004F070D">
        <w:rPr>
          <w:rFonts w:ascii="Times New Roman" w:hAnsi="Times New Roman" w:cs="Times New Roman"/>
          <w:b/>
          <w:sz w:val="24"/>
          <w:szCs w:val="24"/>
        </w:rPr>
        <w:t>Старооскольского</w:t>
      </w:r>
      <w:proofErr w:type="spellEnd"/>
      <w:r w:rsidRPr="004F070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рамках Всемирного дня борьбы с туберкулезом 202</w:t>
      </w:r>
      <w:r w:rsidR="007E3519" w:rsidRPr="004F070D">
        <w:rPr>
          <w:rFonts w:ascii="Times New Roman" w:hAnsi="Times New Roman" w:cs="Times New Roman"/>
          <w:b/>
          <w:sz w:val="24"/>
          <w:szCs w:val="24"/>
        </w:rPr>
        <w:t>4</w:t>
      </w:r>
      <w:r w:rsidRPr="004F070D">
        <w:rPr>
          <w:rFonts w:ascii="Times New Roman" w:hAnsi="Times New Roman" w:cs="Times New Roman"/>
          <w:b/>
          <w:sz w:val="24"/>
          <w:szCs w:val="24"/>
        </w:rPr>
        <w:t>г</w:t>
      </w:r>
    </w:p>
    <w:p w14:paraId="3BCFA0EC" w14:textId="77777777" w:rsidR="00B03F36" w:rsidRPr="00B03F36" w:rsidRDefault="00B03F36" w:rsidP="00B03F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 xml:space="preserve">Всемирный день борьбы с туберкулезом отмечается по решению Всемирной организации здравоохранения (ВОЗ) ежегодно 24 марта — в день, когда в 1882 году немецкий микробиолог Роберт </w:t>
      </w:r>
      <w:proofErr w:type="gramStart"/>
      <w:r w:rsidRPr="00B03F36">
        <w:rPr>
          <w:rFonts w:ascii="Times New Roman" w:hAnsi="Times New Roman" w:cs="Times New Roman"/>
          <w:sz w:val="24"/>
          <w:szCs w:val="24"/>
        </w:rPr>
        <w:t>Кох  объявил</w:t>
      </w:r>
      <w:proofErr w:type="gramEnd"/>
      <w:r w:rsidRPr="00B03F36">
        <w:rPr>
          <w:rFonts w:ascii="Times New Roman" w:hAnsi="Times New Roman" w:cs="Times New Roman"/>
          <w:sz w:val="24"/>
          <w:szCs w:val="24"/>
        </w:rPr>
        <w:t xml:space="preserve"> о сделанном им открытии возбудителя туберкулеза. В 1905 году ученый получил Нобелевскую премию в области медицины.</w:t>
      </w:r>
    </w:p>
    <w:p w14:paraId="275D45D1" w14:textId="0DDB9277" w:rsidR="00B03F36" w:rsidRDefault="00B03F36" w:rsidP="00B03F36">
      <w:pPr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>Этот День был учрежден в 1982 году по решению ВОЗ и Международного союза борьбы с туберкулезом и легочными заболеваниями (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— IUATLD) и приурочен к 100-летию со дня открытия возбудителя туберкулеза — палочки Коха. В 1993 году Всемирной организацией здравоохранения туберкулез был объявлен национальным бедствием, а день 24 марта — Всемирным днем борьбы с туберкулезом. С 1998 года он получил официальную поддержку ООН.</w:t>
      </w:r>
    </w:p>
    <w:p w14:paraId="4642CE34" w14:textId="1CC843B4" w:rsidR="00B03F36" w:rsidRPr="00B03F36" w:rsidRDefault="00B03F36" w:rsidP="00B03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>Туберкулез —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 По данным ВОЗ, каждый день от этой предотвратимой и излечимой болезни умирает почти 4 400 человек, а почти 30 000 человек заболевают ею (большинство из которых — жители развивающихся стран)</w:t>
      </w:r>
      <w:r w:rsidR="00F46C29">
        <w:rPr>
          <w:rFonts w:ascii="Times New Roman" w:hAnsi="Times New Roman" w:cs="Times New Roman"/>
          <w:sz w:val="24"/>
          <w:szCs w:val="24"/>
        </w:rPr>
        <w:t>.</w:t>
      </w:r>
      <w:r w:rsidRPr="00B03F36">
        <w:rPr>
          <w:rFonts w:ascii="Times New Roman" w:hAnsi="Times New Roman" w:cs="Times New Roman"/>
          <w:sz w:val="24"/>
          <w:szCs w:val="24"/>
        </w:rPr>
        <w:t xml:space="preserve">  При туберкулезе чаще всего поражаются органы дыхания, а также мочеполовая система, периферические лимфатические узлы, кожа, глаза, кости и суставы.</w:t>
      </w:r>
    </w:p>
    <w:p w14:paraId="32BD9042" w14:textId="0DDF3298" w:rsidR="00B03F36" w:rsidRPr="00B03F36" w:rsidRDefault="00B03F36" w:rsidP="00B03F3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 xml:space="preserve">Возбудитель инфекции — микобактерии, которые очень устойчивы к воздействию факторов окружающей среды. В сухом состоянии возбудители туберкулеза сохраняют свою жизнеспособность до 3 лет, при нагревании выдерживают температуру выше 800 С. Источником инфекции являются больные активной формой туберкулеза люди и животные (крупный рогатый скот, козы, собаки). Наиболее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опасными источниками инфекции являются больные туберкулезом легких с наличием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бактериовыделения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и (или) с деструктивными процессами в легких.</w:t>
      </w:r>
    </w:p>
    <w:p w14:paraId="0C412100" w14:textId="64C132A9" w:rsidR="00B03F36" w:rsidRPr="00B03F36" w:rsidRDefault="00B03F36" w:rsidP="00B03F3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 xml:space="preserve">Ведущий путь распространения туберкулеза — воздушно-капельный, возможны также воздушно-пылевой, контактный, алиментарный пути передачи, не исключается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путь передачи инфекции.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F36">
        <w:rPr>
          <w:rFonts w:ascii="Times New Roman" w:hAnsi="Times New Roman" w:cs="Times New Roman"/>
          <w:sz w:val="24"/>
          <w:szCs w:val="24"/>
        </w:rPr>
        <w:t>Основным фактором передачи возбудителя туберкулезной инфекции является воздушная среда. Факторами передачи также могут являться инфицированные материалы от больных, инфицированные возбудителем объекты внешней среды.</w:t>
      </w:r>
    </w:p>
    <w:p w14:paraId="399BA2B1" w14:textId="77777777" w:rsidR="00B03F36" w:rsidRPr="00B03F36" w:rsidRDefault="00B03F36" w:rsidP="00B03F3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>Клинические проявления инфекции характеризуются общей слабостью и быстрой утомляемостью, снижением работоспособности, снижением массы тела, отсутствием аппетита. У больных наблюдается кашель, боли в груди.</w:t>
      </w:r>
    </w:p>
    <w:p w14:paraId="3C91B924" w14:textId="09C8AC48" w:rsidR="00B03F36" w:rsidRPr="00B03F36" w:rsidRDefault="00B03F36" w:rsidP="00B03F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>Основным методом раннего выявления туберкулеза среди взрослого населения остается флюорографическое обследование, а среди детского населения проведение иммунодиагностики.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F36">
        <w:rPr>
          <w:rFonts w:ascii="Times New Roman" w:hAnsi="Times New Roman" w:cs="Times New Roman"/>
          <w:sz w:val="24"/>
          <w:szCs w:val="24"/>
        </w:rPr>
        <w:t>Флюорографическое обследование проводиться всем лицам от 15 лет и старше. У детей основным методом выявления туберкулезной инфекции (туберкулеза) является иммунодиагностика (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), которые позволяют </w:t>
      </w:r>
      <w:r w:rsidRPr="00B03F36">
        <w:rPr>
          <w:rFonts w:ascii="Times New Roman" w:hAnsi="Times New Roman" w:cs="Times New Roman"/>
          <w:sz w:val="24"/>
          <w:szCs w:val="24"/>
        </w:rPr>
        <w:lastRenderedPageBreak/>
        <w:t>выявить факт инфицирования ребенка туберкулезными бактериями и при необходимости провести углубленное обследование с целью выявления минимальных проявлений туберкулеза на начальном этапе. При необходимости назначается профилактическое или превентивное лечение с целью предотвращения перехода заражения в заболевание.</w:t>
      </w:r>
    </w:p>
    <w:p w14:paraId="4515AC67" w14:textId="77777777" w:rsidR="00B03F36" w:rsidRPr="00B03F36" w:rsidRDefault="00B03F36" w:rsidP="00B03F36">
      <w:pPr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>Эффективность своевременного лечения туберкулеза, которая высока на ранних стадиях заболевания, резко снижается на более поздних стадиях заболевания. В связи с этим ранняя обращаемость к врачу и своевременное флюорографическое обследование может иметь решающее значение. При условии быстрого лекарственного вмешательства существенно сокращается смертность от туберкулеза. Своевременно выявленный туберкулез лучше поддается лечению.</w:t>
      </w:r>
    </w:p>
    <w:p w14:paraId="3BE247BD" w14:textId="4B119FD6" w:rsidR="00B03F36" w:rsidRPr="00B03F36" w:rsidRDefault="00B03F36" w:rsidP="00B03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>Многие избегают флюорографического осмотра, считая это вредным для здоровья. Это не так: доза облучения, получаемая при таком обследовании, равна одному дню, проведенному на солнце и вреда здоровью, не приносит. В современных флюорографических установках предусмотрена надежная зашита обследуемых людей от вредного воздействия.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F36">
        <w:rPr>
          <w:rFonts w:ascii="Times New Roman" w:hAnsi="Times New Roman" w:cs="Times New Roman"/>
          <w:sz w:val="24"/>
          <w:szCs w:val="24"/>
        </w:rPr>
        <w:t>Доказано, что при нерегулярном обследовании, как правило, выявляются запущенные формы заболевания, которые требуют длительного, дорогостоящего лечения.</w:t>
      </w:r>
    </w:p>
    <w:p w14:paraId="72E703A3" w14:textId="77777777" w:rsidR="00B03F36" w:rsidRPr="00B03F36" w:rsidRDefault="00B03F36" w:rsidP="00B03F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>Целью и основными задачами Всемирного дня борьбы с туберкулезом являются повышение осведомленности и привлечение внимания к данной проблеме, информирование широких слоев населения о необходимости своевременного прохождения профилактических осмотров в целях раннего выявления заболевания, своевременного обращения за медицинской помощью, привлечение государственных и общественных организаций к участию в работе по борьбе с этим заболеванием, формирование приверженности к здоровому образу жизни.</w:t>
      </w:r>
    </w:p>
    <w:p w14:paraId="786C2EA2" w14:textId="75488C25" w:rsidR="00B03F36" w:rsidRPr="00B03F36" w:rsidRDefault="00B03F36" w:rsidP="00B03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F36">
        <w:rPr>
          <w:rFonts w:ascii="Times New Roman" w:hAnsi="Times New Roman" w:cs="Times New Roman"/>
          <w:sz w:val="24"/>
          <w:szCs w:val="24"/>
        </w:rPr>
        <w:t xml:space="preserve">Специалистами отдела мониторинга факторов риска ОГБУЗ «Центр общественного здоровья и медицинской профилактики города Старого Оскола» проведено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- социологическое исследование разновозрастных групп населения </w:t>
      </w:r>
      <w:proofErr w:type="spellStart"/>
      <w:r w:rsidRPr="00B03F36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B03F36">
        <w:rPr>
          <w:rFonts w:ascii="Times New Roman" w:hAnsi="Times New Roman" w:cs="Times New Roman"/>
          <w:sz w:val="24"/>
          <w:szCs w:val="24"/>
        </w:rPr>
        <w:t xml:space="preserve"> городского округа на определение уровня информированности по вопросу профилактики туберкулеза.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3F36">
        <w:rPr>
          <w:rFonts w:ascii="Times New Roman" w:hAnsi="Times New Roman" w:cs="Times New Roman"/>
          <w:sz w:val="24"/>
          <w:szCs w:val="24"/>
        </w:rPr>
        <w:t>социологический опрос проведен по анкете «Что такое туберкулез?», в котором приняли участие 245 человек.</w:t>
      </w:r>
    </w:p>
    <w:p w14:paraId="6F4A5F84" w14:textId="77777777" w:rsidR="00B668C6" w:rsidRPr="004F070D" w:rsidRDefault="00B668C6" w:rsidP="00B03F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852D33" w14:textId="14A7D976" w:rsidR="00B668C6" w:rsidRPr="004F070D" w:rsidRDefault="00B668C6" w:rsidP="00B668C6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0D">
        <w:rPr>
          <w:rStyle w:val="a3"/>
          <w:rFonts w:ascii="Times New Roman" w:eastAsia="Times New Roman" w:hAnsi="Times New Roman" w:cs="Times New Roman"/>
          <w:sz w:val="24"/>
          <w:szCs w:val="24"/>
          <w:u w:val="single"/>
        </w:rPr>
        <w:t>Цель исследования</w:t>
      </w:r>
      <w:r w:rsidRPr="004F070D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70D">
        <w:rPr>
          <w:rFonts w:ascii="Times New Roman" w:eastAsia="Times New Roman" w:hAnsi="Times New Roman" w:cs="Times New Roman"/>
          <w:sz w:val="24"/>
          <w:szCs w:val="24"/>
        </w:rPr>
        <w:t xml:space="preserve">– изучить уровень информированности населения </w:t>
      </w:r>
      <w:r w:rsidR="00822607" w:rsidRPr="004F070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F070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22607" w:rsidRPr="004F070D">
        <w:rPr>
          <w:rFonts w:ascii="Times New Roman" w:eastAsia="Times New Roman" w:hAnsi="Times New Roman" w:cs="Times New Roman"/>
          <w:sz w:val="24"/>
          <w:szCs w:val="24"/>
        </w:rPr>
        <w:t xml:space="preserve">проблеме </w:t>
      </w:r>
      <w:r w:rsidRPr="004F070D">
        <w:rPr>
          <w:rFonts w:ascii="Times New Roman" w:eastAsia="Times New Roman" w:hAnsi="Times New Roman" w:cs="Times New Roman"/>
          <w:sz w:val="24"/>
          <w:szCs w:val="24"/>
        </w:rPr>
        <w:t>туберкулез</w:t>
      </w:r>
      <w:r w:rsidR="00822607" w:rsidRPr="004F070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07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23B1AD" w14:textId="49DA2416" w:rsidR="00B668C6" w:rsidRPr="004F070D" w:rsidRDefault="00B668C6" w:rsidP="00B668C6">
      <w:pPr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 исследования</w:t>
      </w:r>
      <w:r w:rsidRPr="004F0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F070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46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70D">
        <w:rPr>
          <w:rFonts w:ascii="Times New Roman" w:eastAsia="Times New Roman" w:hAnsi="Times New Roman" w:cs="Times New Roman"/>
          <w:sz w:val="24"/>
          <w:szCs w:val="24"/>
        </w:rPr>
        <w:t xml:space="preserve">осведомленность о профилактических мерах заражения туберкулезом. </w:t>
      </w:r>
    </w:p>
    <w:p w14:paraId="0D6423E0" w14:textId="77777777" w:rsidR="00B668C6" w:rsidRPr="004F070D" w:rsidRDefault="00B668C6" w:rsidP="00B668C6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4F070D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анонимного анкетирования.</w:t>
      </w:r>
    </w:p>
    <w:p w14:paraId="55C1084A" w14:textId="77777777" w:rsidR="00B668C6" w:rsidRPr="004F070D" w:rsidRDefault="00B668C6" w:rsidP="00B668C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sz w:val="24"/>
          <w:szCs w:val="24"/>
        </w:rPr>
        <w:t>В соответствии с указанной целью были поставлены следующие задачи:</w:t>
      </w:r>
    </w:p>
    <w:p w14:paraId="71B0F34B" w14:textId="77777777" w:rsidR="00F46C29" w:rsidRDefault="00B668C6" w:rsidP="00F46C29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4F070D">
        <w:rPr>
          <w:rFonts w:ascii="Times New Roman" w:hAnsi="Times New Roman" w:cs="Times New Roman"/>
          <w:sz w:val="24"/>
          <w:szCs w:val="24"/>
        </w:rPr>
        <w:t>1. Провести анонимное анкетирование.</w:t>
      </w:r>
    </w:p>
    <w:p w14:paraId="37DE7885" w14:textId="7FC9899B" w:rsidR="00B668C6" w:rsidRPr="004F070D" w:rsidRDefault="00B668C6" w:rsidP="00F46C29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70D">
        <w:rPr>
          <w:rFonts w:ascii="Times New Roman" w:eastAsia="Times New Roman" w:hAnsi="Times New Roman" w:cs="Times New Roman"/>
          <w:sz w:val="24"/>
          <w:szCs w:val="24"/>
        </w:rPr>
        <w:t>Проанализировать проведенное анкетирование, выявить уровень информированности о профилактике заражения туберкулезом.</w:t>
      </w:r>
    </w:p>
    <w:p w14:paraId="6CC248ED" w14:textId="06DDC5F5" w:rsidR="00B668C6" w:rsidRPr="004F070D" w:rsidRDefault="00B668C6" w:rsidP="00B03F36">
      <w:pPr>
        <w:spacing w:before="24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70D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4F070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F070D">
        <w:rPr>
          <w:rFonts w:ascii="Times New Roman" w:hAnsi="Times New Roman" w:cs="Times New Roman"/>
          <w:sz w:val="24"/>
          <w:szCs w:val="24"/>
        </w:rPr>
        <w:t xml:space="preserve"> – </w:t>
      </w:r>
      <w:r w:rsidR="00822607" w:rsidRPr="004F070D">
        <w:rPr>
          <w:rFonts w:ascii="Times New Roman" w:hAnsi="Times New Roman" w:cs="Times New Roman"/>
          <w:sz w:val="24"/>
          <w:szCs w:val="24"/>
        </w:rPr>
        <w:t xml:space="preserve">социологического опроса для </w:t>
      </w:r>
      <w:r w:rsidR="00CD126A" w:rsidRPr="004F070D">
        <w:rPr>
          <w:rFonts w:ascii="Times New Roman" w:hAnsi="Times New Roman" w:cs="Times New Roman"/>
          <w:sz w:val="24"/>
          <w:szCs w:val="24"/>
        </w:rPr>
        <w:t>наглядности в</w:t>
      </w:r>
      <w:r w:rsidRPr="004F070D">
        <w:rPr>
          <w:rFonts w:ascii="Times New Roman" w:hAnsi="Times New Roman" w:cs="Times New Roman"/>
          <w:sz w:val="24"/>
          <w:szCs w:val="24"/>
        </w:rPr>
        <w:t xml:space="preserve"> виде диаграмм.</w:t>
      </w:r>
    </w:p>
    <w:p w14:paraId="38035A2D" w14:textId="7C9B0967" w:rsidR="00B668C6" w:rsidRPr="004F070D" w:rsidRDefault="00B668C6" w:rsidP="00F46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0D">
        <w:rPr>
          <w:rFonts w:ascii="Times New Roman" w:hAnsi="Times New Roman" w:cs="Times New Roman"/>
          <w:b/>
          <w:sz w:val="24"/>
          <w:szCs w:val="24"/>
        </w:rPr>
        <w:lastRenderedPageBreak/>
        <w:t>Диаграмма 1</w:t>
      </w:r>
      <w:r w:rsidR="004F070D">
        <w:rPr>
          <w:rFonts w:ascii="Times New Roman" w:hAnsi="Times New Roman" w:cs="Times New Roman"/>
          <w:b/>
          <w:sz w:val="24"/>
          <w:szCs w:val="24"/>
        </w:rPr>
        <w:t>.</w:t>
      </w:r>
      <w:r w:rsidRPr="004F070D">
        <w:rPr>
          <w:rFonts w:ascii="Times New Roman" w:hAnsi="Times New Roman" w:cs="Times New Roman"/>
          <w:b/>
          <w:sz w:val="24"/>
          <w:szCs w:val="24"/>
        </w:rPr>
        <w:t xml:space="preserve"> Знаете ли Вы о таком заболевании, как – Туберкулез?</w:t>
      </w:r>
    </w:p>
    <w:p w14:paraId="73A73D99" w14:textId="040BBE79" w:rsidR="00B668C6" w:rsidRPr="004F070D" w:rsidRDefault="00B668C6" w:rsidP="00B6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Fill>
            <w14:gradFill>
              <w14:gsLst>
                <w14:gs w14:pos="50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10800000" w14:scaled="0"/>
            </w14:gradFill>
          </w14:textFill>
        </w:rPr>
      </w:pPr>
    </w:p>
    <w:p w14:paraId="71F2FAD5" w14:textId="5412D445" w:rsidR="00B668C6" w:rsidRPr="004F070D" w:rsidRDefault="00B41315" w:rsidP="00B6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663DF8" wp14:editId="350E07AA">
            <wp:extent cx="5116830" cy="278130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DF5BD5" w14:textId="77777777" w:rsidR="006428F0" w:rsidRDefault="006428F0" w:rsidP="00B668C6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8DBF15" w14:textId="48CEF6D0" w:rsidR="00B668C6" w:rsidRPr="004F070D" w:rsidRDefault="00B668C6" w:rsidP="00B668C6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10">
        <w:rPr>
          <w:rFonts w:ascii="Times New Roman" w:hAnsi="Times New Roman" w:cs="Times New Roman"/>
          <w:i/>
          <w:sz w:val="24"/>
          <w:szCs w:val="24"/>
        </w:rPr>
        <w:t>Анализ результатов</w:t>
      </w:r>
      <w:r w:rsidRPr="004F070D">
        <w:rPr>
          <w:rFonts w:ascii="Times New Roman" w:hAnsi="Times New Roman" w:cs="Times New Roman"/>
          <w:i/>
          <w:sz w:val="24"/>
          <w:szCs w:val="24"/>
        </w:rPr>
        <w:t>: в данной репрезентативной выборке высокий уровень осведомленности - 9</w:t>
      </w:r>
      <w:r w:rsidR="004F070D">
        <w:rPr>
          <w:rFonts w:ascii="Times New Roman" w:hAnsi="Times New Roman" w:cs="Times New Roman"/>
          <w:i/>
          <w:sz w:val="24"/>
          <w:szCs w:val="24"/>
        </w:rPr>
        <w:t>7</w:t>
      </w:r>
      <w:r w:rsidRPr="004F070D">
        <w:rPr>
          <w:rFonts w:ascii="Times New Roman" w:hAnsi="Times New Roman" w:cs="Times New Roman"/>
          <w:i/>
          <w:sz w:val="24"/>
          <w:szCs w:val="24"/>
        </w:rPr>
        <w:t xml:space="preserve"> % (</w:t>
      </w:r>
      <w:r w:rsidR="004F070D">
        <w:rPr>
          <w:rFonts w:ascii="Times New Roman" w:hAnsi="Times New Roman" w:cs="Times New Roman"/>
          <w:i/>
          <w:sz w:val="24"/>
          <w:szCs w:val="24"/>
        </w:rPr>
        <w:t>23</w:t>
      </w:r>
      <w:r w:rsidRPr="004F070D">
        <w:rPr>
          <w:rFonts w:ascii="Times New Roman" w:hAnsi="Times New Roman" w:cs="Times New Roman"/>
          <w:i/>
          <w:sz w:val="24"/>
          <w:szCs w:val="24"/>
        </w:rPr>
        <w:t>7 респондентов).</w:t>
      </w:r>
    </w:p>
    <w:p w14:paraId="3BC38D8C" w14:textId="77777777" w:rsidR="00B668C6" w:rsidRPr="004F070D" w:rsidRDefault="00B668C6" w:rsidP="00B0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A0575" w14:textId="0A6E6107" w:rsidR="00B668C6" w:rsidRDefault="00B668C6" w:rsidP="00B6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0D">
        <w:rPr>
          <w:rFonts w:ascii="Times New Roman" w:hAnsi="Times New Roman" w:cs="Times New Roman"/>
          <w:sz w:val="24"/>
          <w:szCs w:val="24"/>
        </w:rPr>
        <w:t xml:space="preserve"> </w:t>
      </w:r>
      <w:r w:rsidRPr="004F070D">
        <w:rPr>
          <w:rFonts w:ascii="Times New Roman" w:hAnsi="Times New Roman" w:cs="Times New Roman"/>
          <w:b/>
          <w:sz w:val="24"/>
          <w:szCs w:val="24"/>
        </w:rPr>
        <w:t>Диаграмма 2</w:t>
      </w:r>
      <w:r w:rsidR="00F46C29" w:rsidRPr="00F46C29">
        <w:rPr>
          <w:rFonts w:ascii="Times New Roman" w:hAnsi="Times New Roman" w:cs="Times New Roman"/>
          <w:b/>
          <w:sz w:val="24"/>
          <w:szCs w:val="24"/>
        </w:rPr>
        <w:t>.</w:t>
      </w:r>
      <w:r w:rsidRPr="004F070D">
        <w:rPr>
          <w:rFonts w:ascii="Times New Roman" w:hAnsi="Times New Roman" w:cs="Times New Roman"/>
          <w:b/>
          <w:sz w:val="24"/>
          <w:szCs w:val="24"/>
        </w:rPr>
        <w:t xml:space="preserve"> Как часто Вы проходите флюорографическое обследование?</w:t>
      </w:r>
    </w:p>
    <w:p w14:paraId="2D49C0FE" w14:textId="77777777" w:rsidR="00F46C29" w:rsidRPr="004F070D" w:rsidRDefault="00F46C29" w:rsidP="00B6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02BEC" w14:textId="627673E6" w:rsidR="00B668C6" w:rsidRPr="004F070D" w:rsidRDefault="00152D33" w:rsidP="00B6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49383C" wp14:editId="4F82FA16">
            <wp:extent cx="4776394" cy="2457907"/>
            <wp:effectExtent l="0" t="0" r="57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B1F572" w14:textId="1E6789CE" w:rsidR="00B668C6" w:rsidRPr="004F070D" w:rsidRDefault="00B668C6" w:rsidP="00B6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1E1DE" w14:textId="77777777" w:rsidR="00B668C6" w:rsidRPr="004F070D" w:rsidRDefault="00B668C6" w:rsidP="00B668C6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E2D81F" w14:textId="48229964" w:rsidR="00B668C6" w:rsidRPr="004F070D" w:rsidRDefault="00B668C6" w:rsidP="00B668C6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8F0">
        <w:rPr>
          <w:rFonts w:ascii="Times New Roman" w:hAnsi="Times New Roman" w:cs="Times New Roman"/>
          <w:i/>
          <w:sz w:val="24"/>
          <w:szCs w:val="24"/>
        </w:rPr>
        <w:t>Анализ результатов:</w:t>
      </w:r>
      <w:r w:rsidRPr="004F070D">
        <w:rPr>
          <w:rFonts w:ascii="Times New Roman" w:hAnsi="Times New Roman" w:cs="Times New Roman"/>
          <w:i/>
          <w:sz w:val="24"/>
          <w:szCs w:val="24"/>
        </w:rPr>
        <w:t xml:space="preserve"> среди лиц, участвовавших в исследовании </w:t>
      </w:r>
      <w:r w:rsidR="009B2681">
        <w:rPr>
          <w:rFonts w:ascii="Times New Roman" w:hAnsi="Times New Roman" w:cs="Times New Roman"/>
          <w:i/>
          <w:sz w:val="24"/>
          <w:szCs w:val="24"/>
        </w:rPr>
        <w:t>86</w:t>
      </w:r>
      <w:r w:rsidRPr="004F0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027" w:rsidRPr="004F070D">
        <w:rPr>
          <w:rFonts w:ascii="Times New Roman" w:hAnsi="Times New Roman" w:cs="Times New Roman"/>
          <w:i/>
          <w:sz w:val="24"/>
          <w:szCs w:val="24"/>
        </w:rPr>
        <w:t>% (</w:t>
      </w:r>
      <w:r w:rsidR="009B2681">
        <w:rPr>
          <w:rFonts w:ascii="Times New Roman" w:hAnsi="Times New Roman" w:cs="Times New Roman"/>
          <w:i/>
          <w:sz w:val="24"/>
          <w:szCs w:val="24"/>
        </w:rPr>
        <w:t>212</w:t>
      </w:r>
      <w:r w:rsidRPr="004F0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027" w:rsidRPr="004F070D">
        <w:rPr>
          <w:rFonts w:ascii="Times New Roman" w:hAnsi="Times New Roman" w:cs="Times New Roman"/>
          <w:i/>
          <w:sz w:val="24"/>
          <w:szCs w:val="24"/>
        </w:rPr>
        <w:t>респондент</w:t>
      </w:r>
      <w:r w:rsidR="009B2681">
        <w:rPr>
          <w:rFonts w:ascii="Times New Roman" w:hAnsi="Times New Roman" w:cs="Times New Roman"/>
          <w:i/>
          <w:sz w:val="24"/>
          <w:szCs w:val="24"/>
        </w:rPr>
        <w:t>ов</w:t>
      </w:r>
      <w:r w:rsidR="009C0027" w:rsidRPr="004F070D">
        <w:rPr>
          <w:rFonts w:ascii="Times New Roman" w:hAnsi="Times New Roman" w:cs="Times New Roman"/>
          <w:i/>
          <w:sz w:val="24"/>
          <w:szCs w:val="24"/>
        </w:rPr>
        <w:t>)</w:t>
      </w:r>
      <w:r w:rsidRPr="004F070D">
        <w:rPr>
          <w:rFonts w:ascii="Times New Roman" w:hAnsi="Times New Roman" w:cs="Times New Roman"/>
          <w:i/>
          <w:sz w:val="24"/>
          <w:szCs w:val="24"/>
        </w:rPr>
        <w:t xml:space="preserve"> проходят ежегодное флюорографическое обследование</w:t>
      </w:r>
      <w:r w:rsidR="009B2681">
        <w:rPr>
          <w:rFonts w:ascii="Times New Roman" w:hAnsi="Times New Roman" w:cs="Times New Roman"/>
          <w:i/>
          <w:sz w:val="24"/>
          <w:szCs w:val="24"/>
        </w:rPr>
        <w:t>.</w:t>
      </w:r>
      <w:r w:rsidRPr="004F07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89C1E7" w14:textId="2C728B58" w:rsidR="00B668C6" w:rsidRDefault="00B668C6" w:rsidP="009C0027">
      <w:pPr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E08DF0" w14:textId="77777777" w:rsidR="00B668C6" w:rsidRPr="004F070D" w:rsidRDefault="00B668C6" w:rsidP="00B668C6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213EA" w14:textId="425A90E1" w:rsidR="00B668C6" w:rsidRPr="004F070D" w:rsidRDefault="00B668C6" w:rsidP="00B6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0D">
        <w:rPr>
          <w:rFonts w:ascii="Times New Roman" w:hAnsi="Times New Roman" w:cs="Times New Roman"/>
          <w:b/>
          <w:sz w:val="24"/>
          <w:szCs w:val="24"/>
        </w:rPr>
        <w:t>Диаграмма 3</w:t>
      </w:r>
      <w:r w:rsidR="00B03F36">
        <w:rPr>
          <w:rFonts w:ascii="Times New Roman" w:hAnsi="Times New Roman" w:cs="Times New Roman"/>
          <w:b/>
          <w:sz w:val="24"/>
          <w:szCs w:val="24"/>
        </w:rPr>
        <w:t>.</w:t>
      </w:r>
      <w:r w:rsidRPr="004F070D">
        <w:rPr>
          <w:rFonts w:ascii="Times New Roman" w:hAnsi="Times New Roman" w:cs="Times New Roman"/>
          <w:b/>
          <w:sz w:val="24"/>
          <w:szCs w:val="24"/>
        </w:rPr>
        <w:t xml:space="preserve"> Знаете ли вы методы профилактики туберкулеза?</w:t>
      </w:r>
    </w:p>
    <w:p w14:paraId="12B2EF26" w14:textId="77777777" w:rsidR="00B668C6" w:rsidRPr="004F070D" w:rsidRDefault="00B668C6" w:rsidP="00B6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8D30EF" w14:textId="77777777" w:rsidR="00B668C6" w:rsidRPr="00F43EE8" w:rsidRDefault="00B668C6" w:rsidP="00B668C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14:shadow w14:blurRad="431800" w14:dist="0" w14:dir="5400000" w14:sx="0" w14:sy="0" w14:kx="0" w14:ky="0" w14:algn="ctr">
            <w14:srgbClr w14:val="000000">
              <w14:alpha w14:val="56870"/>
            </w14:srgbClr>
          </w14:shadow>
          <w14:textOutline w14:w="9525" w14:cap="rnd" w14:cmpd="sng" w14:algn="ctr">
            <w14:gradFill>
              <w14:gsLst>
                <w14:gs w14:pos="100000">
                  <w14:schemeClr w14:val="accent1">
                    <w14:alpha w14:val="14000"/>
                    <w14:lumMod w14:val="62000"/>
                    <w14:lumOff w14:val="38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8000"/>
              </w14:srgbClr>
            </w14:solidFill>
          </w14:textFill>
        </w:rPr>
      </w:pPr>
      <w:r w:rsidRPr="004F070D">
        <w:rPr>
          <w:rFonts w:ascii="Times New Roman" w:hAnsi="Times New Roman" w:cs="Times New Roman"/>
          <w:b/>
          <w:noProof/>
          <w:color w:val="FFFF00"/>
          <w:sz w:val="24"/>
          <w:szCs w:val="24"/>
        </w:rPr>
        <w:lastRenderedPageBreak/>
        <w:drawing>
          <wp:inline distT="0" distB="0" distL="0" distR="0" wp14:anchorId="572F8C5B" wp14:editId="4A8593B9">
            <wp:extent cx="4731026" cy="2266122"/>
            <wp:effectExtent l="0" t="0" r="12700" b="12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93DCF0" w14:textId="42225C57" w:rsidR="00331FAF" w:rsidRDefault="00B668C6" w:rsidP="00F46C29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F0">
        <w:rPr>
          <w:rFonts w:ascii="Times New Roman" w:hAnsi="Times New Roman" w:cs="Times New Roman"/>
          <w:i/>
          <w:sz w:val="24"/>
          <w:szCs w:val="24"/>
        </w:rPr>
        <w:t>Анализ результатов:</w:t>
      </w:r>
      <w:r w:rsidRPr="004F070D">
        <w:rPr>
          <w:rFonts w:ascii="Times New Roman" w:hAnsi="Times New Roman" w:cs="Times New Roman"/>
          <w:i/>
          <w:sz w:val="24"/>
          <w:szCs w:val="24"/>
        </w:rPr>
        <w:t xml:space="preserve"> среди опрошенных </w:t>
      </w:r>
      <w:r w:rsidR="006428F0">
        <w:rPr>
          <w:rFonts w:ascii="Times New Roman" w:hAnsi="Times New Roman" w:cs="Times New Roman"/>
          <w:i/>
          <w:sz w:val="24"/>
          <w:szCs w:val="24"/>
        </w:rPr>
        <w:t>74</w:t>
      </w:r>
      <w:r w:rsidRPr="004F070D">
        <w:rPr>
          <w:rFonts w:ascii="Times New Roman" w:hAnsi="Times New Roman" w:cs="Times New Roman"/>
          <w:i/>
          <w:sz w:val="24"/>
          <w:szCs w:val="24"/>
        </w:rPr>
        <w:t>% (</w:t>
      </w:r>
      <w:r w:rsidR="006428F0">
        <w:rPr>
          <w:rFonts w:ascii="Times New Roman" w:hAnsi="Times New Roman" w:cs="Times New Roman"/>
          <w:i/>
          <w:sz w:val="24"/>
          <w:szCs w:val="24"/>
        </w:rPr>
        <w:t>181</w:t>
      </w:r>
      <w:r w:rsidRPr="004F070D">
        <w:rPr>
          <w:rFonts w:ascii="Times New Roman" w:hAnsi="Times New Roman" w:cs="Times New Roman"/>
          <w:i/>
          <w:sz w:val="24"/>
          <w:szCs w:val="24"/>
        </w:rPr>
        <w:t xml:space="preserve"> респондент) знакомы с профилактическими методами предотвращения инфицирования </w:t>
      </w:r>
      <w:r w:rsidRPr="006428F0">
        <w:rPr>
          <w:rFonts w:ascii="Times New Roman" w:hAnsi="Times New Roman" w:cs="Times New Roman"/>
          <w:i/>
          <w:sz w:val="24"/>
          <w:szCs w:val="24"/>
        </w:rPr>
        <w:t>микобактерией</w:t>
      </w:r>
      <w:r w:rsidRPr="004F070D">
        <w:rPr>
          <w:rFonts w:ascii="Times New Roman" w:hAnsi="Times New Roman" w:cs="Times New Roman"/>
          <w:i/>
          <w:sz w:val="24"/>
          <w:szCs w:val="24"/>
        </w:rPr>
        <w:t xml:space="preserve"> туберкулеза.</w:t>
      </w:r>
    </w:p>
    <w:p w14:paraId="3B3D51D8" w14:textId="77777777" w:rsidR="00F46C29" w:rsidRPr="00F46C29" w:rsidRDefault="00F46C29" w:rsidP="00F46C29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085EA7" w14:textId="09D81821" w:rsidR="00B03F36" w:rsidRDefault="00F46C29" w:rsidP="00F46C29">
      <w:pPr>
        <w:pStyle w:val="a4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>
        <w:rPr>
          <w:color w:val="000000"/>
        </w:rPr>
        <w:t>Т</w:t>
      </w:r>
      <w:r w:rsidR="007454FA" w:rsidRPr="004F070D">
        <w:rPr>
          <w:color w:val="000000"/>
        </w:rPr>
        <w:t>уберкулез – инфекция, передающаяся воздушно-капельным путем, так же как грипп или ОРВИ, только лечению поддается труднее. Часто туберкулез никак не проявляет себя на ранних стадиях. Носители палочек туберкулеза преспокойно ходят рядом с нами, и при кашле распространяют болезнь. Иммунитет у всех разный. К ослаблению иммунитета, а значит и к болезни, могут привести неблагоприятные экологические и социальные условия жизни, неполноценное питание, стрессовые ситуации, табакокурение и алкоголизм.</w:t>
      </w:r>
    </w:p>
    <w:p w14:paraId="3233C87B" w14:textId="55B2F29B" w:rsidR="007454FA" w:rsidRDefault="007454FA" w:rsidP="00B03F36">
      <w:pPr>
        <w:pStyle w:val="a4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4F070D">
        <w:rPr>
          <w:color w:val="000000"/>
        </w:rPr>
        <w:t>К группе риска относятся маленькие дети, пожилые, больные СПИД и ВИЧ-инфекцией. В зоне риска – люди, страдающие различными хроническими заболеваниями, например, диабетом, язвой желудка, болезнями легких. Коварство туберкулеза заключается в том, что это заболевание наступает исподволь, без явно выраженных признаков. Потеря аппетита, хроническая усталость, сонливость могут служить как признаками туберкулеза, так и указывать на другие болезни. Болезнь развивается постепенно – с момента заражения инкубационный период может длиться один-два года.</w:t>
      </w:r>
    </w:p>
    <w:p w14:paraId="4D121753" w14:textId="77777777" w:rsidR="00B03F36" w:rsidRPr="004F070D" w:rsidRDefault="00B03F36" w:rsidP="00B03F36">
      <w:pPr>
        <w:pStyle w:val="a4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14:paraId="079EEDD4" w14:textId="77777777" w:rsidR="007454FA" w:rsidRPr="00B03F36" w:rsidRDefault="007454FA" w:rsidP="007454FA">
      <w:pPr>
        <w:pStyle w:val="a4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</w:rPr>
      </w:pPr>
      <w:r w:rsidRPr="00B03F36">
        <w:rPr>
          <w:b/>
          <w:color w:val="000000"/>
        </w:rPr>
        <w:t>Профилактика заболевания.</w:t>
      </w:r>
    </w:p>
    <w:p w14:paraId="77169B01" w14:textId="7271BB83" w:rsidR="007454FA" w:rsidRPr="004F070D" w:rsidRDefault="007454FA" w:rsidP="007454FA">
      <w:pPr>
        <w:pStyle w:val="a4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color w:val="000000"/>
        </w:rPr>
      </w:pPr>
      <w:r w:rsidRPr="004F070D">
        <w:rPr>
          <w:color w:val="000000"/>
        </w:rPr>
        <w:t xml:space="preserve">Специфической мерой профилактики является </w:t>
      </w:r>
      <w:r w:rsidRPr="00F46C29">
        <w:rPr>
          <w:color w:val="000000"/>
        </w:rPr>
        <w:t>вакцинация.</w:t>
      </w:r>
      <w:r w:rsidRPr="004F070D">
        <w:rPr>
          <w:color w:val="000000"/>
        </w:rPr>
        <w:t xml:space="preserve"> В нашей стране вакцинация БЦЖ включена в Национальный календарь прививок. В роддоме грудному малышу делают противотуберкулезную прививку БЦЖ. Повторно прививку делают ребенку в возрасте 6-7 лет. Некоторые родители боятся прививать детей. Но вакцина имеет очень ослабленный штамм микробактерий, которые, попадая под кожу, формируют у ребенка иммунитет к инфекции. Ни в коем случае не отказывайтесь от вакцинации — другого надёжного способа защитить ребёнка от туберкулёза не существует. Кроме того, для всех детей обязательна ежегодная проба Манту или </w:t>
      </w:r>
      <w:proofErr w:type="spellStart"/>
      <w:r w:rsidRPr="004F070D">
        <w:rPr>
          <w:color w:val="000000"/>
        </w:rPr>
        <w:t>Диаскинтест</w:t>
      </w:r>
      <w:proofErr w:type="spellEnd"/>
      <w:r w:rsidRPr="004F070D">
        <w:rPr>
          <w:color w:val="000000"/>
        </w:rPr>
        <w:t xml:space="preserve">. Проба Манту — проверенный метод, но она постепенно уходит в прошлое. Сейчас разработана более надежная </w:t>
      </w:r>
      <w:proofErr w:type="gramStart"/>
      <w:r w:rsidRPr="004F070D">
        <w:rPr>
          <w:color w:val="000000"/>
        </w:rPr>
        <w:t xml:space="preserve">методика  </w:t>
      </w:r>
      <w:proofErr w:type="spellStart"/>
      <w:r w:rsidRPr="004F070D">
        <w:rPr>
          <w:color w:val="000000"/>
        </w:rPr>
        <w:t>Диаскинтест</w:t>
      </w:r>
      <w:proofErr w:type="spellEnd"/>
      <w:proofErr w:type="gramEnd"/>
      <w:r w:rsidRPr="004F070D">
        <w:rPr>
          <w:color w:val="000000"/>
        </w:rPr>
        <w:t>, который реагирует только на болезнетворную палочку, а не на вакцину БЦЖ. В целях раннего выявления туберкулеза ежегодно обязательному прохождению флюорографическому обследованию подлежат все взрослые и подростки с 15 лет.</w:t>
      </w:r>
    </w:p>
    <w:p w14:paraId="287DB1B7" w14:textId="7A8238DE" w:rsidR="003E7ED1" w:rsidRDefault="007454FA" w:rsidP="00F46C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70D">
        <w:rPr>
          <w:rFonts w:ascii="Times New Roman" w:hAnsi="Times New Roman" w:cs="Times New Roman"/>
          <w:color w:val="000000"/>
          <w:sz w:val="24"/>
          <w:szCs w:val="24"/>
        </w:rPr>
        <w:t>Для того чтобы оградить себя и близких от туберкулеза, необходимо регулярно проветривать помещения, проводить влажную уборку с дезинфицирующими средствами, чтобы бактерии не «прятались» в пыли и воздухе. В общественных местах и транспорте следует избегать кашляющих людей, а в случае, если заболели сами при кашле закрывать рот платком, чтобы не распространять инфекцию.</w:t>
      </w:r>
      <w:r w:rsidR="003E7ED1" w:rsidRPr="004F070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знать о правилах личной профилактики туберкулеза.</w:t>
      </w:r>
      <w:r w:rsidR="003E7ED1"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0CC9701" w14:textId="77777777" w:rsidR="00F46C29" w:rsidRPr="004F070D" w:rsidRDefault="00F46C29" w:rsidP="00F46C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670334" w14:textId="56377483" w:rsidR="003E7ED1" w:rsidRPr="004F070D" w:rsidRDefault="003E7ED1" w:rsidP="00F46C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C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Личная профилактика туберкулеза</w:t>
      </w: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это:</w:t>
      </w:r>
    </w:p>
    <w:p w14:paraId="5CF2CF22" w14:textId="3086AD58" w:rsidR="003E7ED1" w:rsidRPr="004F070D" w:rsidRDefault="003E7ED1" w:rsidP="003E7ED1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личной гигиены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6A014542" w14:textId="39B4E67B" w:rsidR="003E7ED1" w:rsidRPr="004F070D" w:rsidRDefault="003E7ED1" w:rsidP="003E7ED1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отказ от курения и употребления алкоголя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DCAE31F" w14:textId="6BFACA88" w:rsidR="003E7ED1" w:rsidRPr="004F070D" w:rsidRDefault="003E7ED1" w:rsidP="003E7ED1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физкультурой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7B77F68C" w14:textId="0F38B90C" w:rsidR="003E7ED1" w:rsidRPr="004F070D" w:rsidRDefault="003E7ED1" w:rsidP="003E7ED1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полноценное питание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43A5457" w14:textId="0E1FBBBB" w:rsidR="003E7ED1" w:rsidRPr="004F070D" w:rsidRDefault="003E7ED1" w:rsidP="003E7ED1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регулярное прохождение диспансеризации с флюорографией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0CC274A3" w14:textId="00A18555" w:rsidR="003E7ED1" w:rsidRPr="00F46C29" w:rsidRDefault="003E7ED1" w:rsidP="003E7ED1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своевременное обращение к врачу, если появляются кашель с мокротой, потливость, слабость, увеличение и болезненность </w:t>
      </w:r>
      <w:proofErr w:type="spellStart"/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>лимфоузлов</w:t>
      </w:r>
      <w:r w:rsid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>юю</w:t>
      </w:r>
      <w:proofErr w:type="spellEnd"/>
      <w:r w:rsidR="00F46C29" w:rsidRPr="00F46C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7E756FE" w14:textId="24717AF4" w:rsidR="007454FA" w:rsidRPr="004F070D" w:rsidRDefault="00F46C29" w:rsidP="003E7ED1">
      <w:pPr>
        <w:pStyle w:val="a4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color w:val="000000"/>
        </w:rPr>
      </w:pPr>
      <w:r>
        <w:rPr>
          <w:color w:val="000000"/>
        </w:rPr>
        <w:t>7. п</w:t>
      </w:r>
      <w:r w:rsidR="007454FA" w:rsidRPr="004F070D">
        <w:rPr>
          <w:color w:val="000000"/>
        </w:rPr>
        <w:t>овышение иммунитета, занятие физкультурой, закаливание, употребление свежих овощей и фруктов, витаминов, избегание стрессов.</w:t>
      </w:r>
    </w:p>
    <w:p w14:paraId="65F87C77" w14:textId="768FCBCF" w:rsidR="00A547E9" w:rsidRPr="004F070D" w:rsidRDefault="00A547E9" w:rsidP="00A547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647C29C" w14:textId="6048CC3E" w:rsidR="00A547E9" w:rsidRPr="004F070D" w:rsidRDefault="003E7ED1" w:rsidP="003E7ED1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26C0C5C" w14:textId="45FA3504" w:rsidR="00B668C6" w:rsidRPr="004F070D" w:rsidRDefault="007454FA" w:rsidP="003E7E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4F070D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6D1901" w:rsidRPr="004F07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6230D6C" w14:textId="77777777" w:rsidR="00B668C6" w:rsidRPr="004F070D" w:rsidRDefault="00B668C6" w:rsidP="007454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6C691" w14:textId="77777777" w:rsidR="00B668C6" w:rsidRPr="004F070D" w:rsidRDefault="00B668C6" w:rsidP="007454F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E87273" w14:textId="77777777" w:rsidR="003E7ED1" w:rsidRPr="004F070D" w:rsidRDefault="003E7ED1" w:rsidP="003E7ED1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899C9" w14:textId="77777777" w:rsidR="00F46C29" w:rsidRDefault="00B668C6" w:rsidP="00F46C29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070D">
        <w:rPr>
          <w:rFonts w:ascii="Times New Roman" w:hAnsi="Times New Roman" w:cs="Times New Roman"/>
          <w:i/>
          <w:sz w:val="24"/>
          <w:szCs w:val="24"/>
        </w:rPr>
        <w:t>ОГБУЗ «Центр общественного здоровья и медицинской</w:t>
      </w:r>
      <w:r w:rsidR="003E7ED1" w:rsidRPr="004F07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CC7AEED" w14:textId="10A09B59" w:rsidR="00B668C6" w:rsidRPr="004F070D" w:rsidRDefault="00B668C6" w:rsidP="00F46C29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070D">
        <w:rPr>
          <w:rFonts w:ascii="Times New Roman" w:hAnsi="Times New Roman" w:cs="Times New Roman"/>
          <w:i/>
          <w:sz w:val="24"/>
          <w:szCs w:val="24"/>
        </w:rPr>
        <w:t xml:space="preserve">профилактики </w:t>
      </w:r>
      <w:bookmarkStart w:id="0" w:name="_GoBack"/>
      <w:bookmarkEnd w:id="0"/>
      <w:r w:rsidRPr="004F070D">
        <w:rPr>
          <w:rFonts w:ascii="Times New Roman" w:hAnsi="Times New Roman" w:cs="Times New Roman"/>
          <w:i/>
          <w:sz w:val="24"/>
          <w:szCs w:val="24"/>
        </w:rPr>
        <w:t>города Старого Оскола»</w:t>
      </w:r>
    </w:p>
    <w:p w14:paraId="038E82A2" w14:textId="4EE9113F" w:rsidR="00B668C6" w:rsidRPr="004F070D" w:rsidRDefault="00B668C6" w:rsidP="0074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070D">
        <w:rPr>
          <w:rFonts w:ascii="Times New Roman" w:hAnsi="Times New Roman" w:cs="Times New Roman"/>
          <w:i/>
          <w:sz w:val="24"/>
          <w:szCs w:val="24"/>
        </w:rPr>
        <w:t xml:space="preserve">Зав. отд.  мониторинга факторов риска, врач - терапевт </w:t>
      </w:r>
      <w:proofErr w:type="spellStart"/>
      <w:r w:rsidRPr="004F070D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</w:p>
    <w:p w14:paraId="766185A7" w14:textId="58FBD7D4" w:rsidR="00514814" w:rsidRPr="004F070D" w:rsidRDefault="00B668C6" w:rsidP="007454FA">
      <w:pPr>
        <w:jc w:val="right"/>
        <w:rPr>
          <w:rFonts w:ascii="Times New Roman" w:hAnsi="Times New Roman" w:cs="Times New Roman"/>
          <w:sz w:val="24"/>
          <w:szCs w:val="24"/>
        </w:rPr>
      </w:pPr>
      <w:r w:rsidRPr="004F070D">
        <w:rPr>
          <w:rFonts w:ascii="Times New Roman" w:hAnsi="Times New Roman" w:cs="Times New Roman"/>
          <w:i/>
          <w:sz w:val="24"/>
          <w:szCs w:val="24"/>
        </w:rPr>
        <w:t>Медицинский статистик отдела мониторинга факторов</w:t>
      </w:r>
      <w:r w:rsidR="001065AA" w:rsidRPr="004F070D">
        <w:rPr>
          <w:rFonts w:ascii="Times New Roman" w:hAnsi="Times New Roman" w:cs="Times New Roman"/>
          <w:i/>
          <w:sz w:val="24"/>
          <w:szCs w:val="24"/>
        </w:rPr>
        <w:t xml:space="preserve"> риска </w:t>
      </w:r>
      <w:proofErr w:type="spellStart"/>
      <w:r w:rsidR="001065AA" w:rsidRPr="004F070D">
        <w:rPr>
          <w:rFonts w:ascii="Times New Roman" w:hAnsi="Times New Roman" w:cs="Times New Roman"/>
          <w:i/>
          <w:sz w:val="24"/>
          <w:szCs w:val="24"/>
        </w:rPr>
        <w:t>Н.Л.Гусейнова</w:t>
      </w:r>
      <w:proofErr w:type="spellEnd"/>
    </w:p>
    <w:sectPr w:rsidR="00514814" w:rsidRPr="004F070D" w:rsidSect="00342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46D13" w14:textId="77777777" w:rsidR="00A549F0" w:rsidRDefault="00A549F0" w:rsidP="00342C21">
      <w:pPr>
        <w:spacing w:after="0" w:line="240" w:lineRule="auto"/>
      </w:pPr>
      <w:r>
        <w:separator/>
      </w:r>
    </w:p>
  </w:endnote>
  <w:endnote w:type="continuationSeparator" w:id="0">
    <w:p w14:paraId="7296402E" w14:textId="77777777" w:rsidR="00A549F0" w:rsidRDefault="00A549F0" w:rsidP="0034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779D" w14:textId="77777777" w:rsidR="00A549F0" w:rsidRDefault="00A549F0" w:rsidP="00342C21">
      <w:pPr>
        <w:spacing w:after="0" w:line="240" w:lineRule="auto"/>
      </w:pPr>
      <w:r>
        <w:separator/>
      </w:r>
    </w:p>
  </w:footnote>
  <w:footnote w:type="continuationSeparator" w:id="0">
    <w:p w14:paraId="1A5903F4" w14:textId="77777777" w:rsidR="00A549F0" w:rsidRDefault="00A549F0" w:rsidP="0034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CD6"/>
    <w:multiLevelType w:val="multilevel"/>
    <w:tmpl w:val="2978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14"/>
    <w:rsid w:val="0003637E"/>
    <w:rsid w:val="000837A0"/>
    <w:rsid w:val="000F2BA0"/>
    <w:rsid w:val="001065AA"/>
    <w:rsid w:val="00125894"/>
    <w:rsid w:val="00152D33"/>
    <w:rsid w:val="00183D80"/>
    <w:rsid w:val="00331FAF"/>
    <w:rsid w:val="00342C21"/>
    <w:rsid w:val="003E0864"/>
    <w:rsid w:val="003E7ED1"/>
    <w:rsid w:val="004F070D"/>
    <w:rsid w:val="00514814"/>
    <w:rsid w:val="00551310"/>
    <w:rsid w:val="006428F0"/>
    <w:rsid w:val="00670D19"/>
    <w:rsid w:val="006C536B"/>
    <w:rsid w:val="006D1901"/>
    <w:rsid w:val="00713CC9"/>
    <w:rsid w:val="00724668"/>
    <w:rsid w:val="007454FA"/>
    <w:rsid w:val="007678DB"/>
    <w:rsid w:val="007E3519"/>
    <w:rsid w:val="00822607"/>
    <w:rsid w:val="00976398"/>
    <w:rsid w:val="009B2681"/>
    <w:rsid w:val="009C0027"/>
    <w:rsid w:val="00A077B9"/>
    <w:rsid w:val="00A547E9"/>
    <w:rsid w:val="00A549F0"/>
    <w:rsid w:val="00B01045"/>
    <w:rsid w:val="00B03F36"/>
    <w:rsid w:val="00B41315"/>
    <w:rsid w:val="00B668C6"/>
    <w:rsid w:val="00B857CA"/>
    <w:rsid w:val="00C001B7"/>
    <w:rsid w:val="00CD126A"/>
    <w:rsid w:val="00D12D4A"/>
    <w:rsid w:val="00D43D01"/>
    <w:rsid w:val="00D92A9B"/>
    <w:rsid w:val="00DF465C"/>
    <w:rsid w:val="00F22FF9"/>
    <w:rsid w:val="00F33D03"/>
    <w:rsid w:val="00F43EE8"/>
    <w:rsid w:val="00F46C29"/>
    <w:rsid w:val="00F7507F"/>
    <w:rsid w:val="00FA251C"/>
    <w:rsid w:val="00FA2736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4C4A"/>
  <w15:chartTrackingRefBased/>
  <w15:docId w15:val="{466E5C72-5B09-4BBB-B822-8784590C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8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8C6"/>
    <w:rPr>
      <w:b/>
      <w:bCs/>
    </w:rPr>
  </w:style>
  <w:style w:type="paragraph" w:styleId="a4">
    <w:name w:val="Normal (Web)"/>
    <w:basedOn w:val="a"/>
    <w:uiPriority w:val="99"/>
    <w:unhideWhenUsed/>
    <w:rsid w:val="00B0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104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C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4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C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5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7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76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00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78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5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509259259259259"/>
          <c:y val="0.16000093738282714"/>
          <c:w val="0.75694444444444453"/>
          <c:h val="0.64874765654293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F5F-4D99-A178-0C3CD0117F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F5F-4D99-A178-0C3CD0117FB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5F-4D99-A178-0C3CD0117FB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5F-4D99-A178-0C3CD0117FB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5F-4D99-A178-0C3CD0117FB0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 в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0092592592592549E-2"/>
                  <c:y val="-8.7301587301587324E-2"/>
                </c:manualLayout>
              </c:layout>
              <c:tx>
                <c:rich>
                  <a:bodyPr/>
                  <a:lstStyle/>
                  <a:p>
                    <a:fld id="{7CA17D00-2A8A-4D5C-9514-AF5EC9CCCAF2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FB-44FD-9EE3-2687CF3340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B-44FD-9EE3-2687CF3340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раз в 2 года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FB-44FD-9EE3-2687CF3340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прохожу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FB-44FD-9EE3-2687CF334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05711840"/>
        <c:axId val="374409888"/>
        <c:axId val="0"/>
      </c:bar3DChart>
      <c:catAx>
        <c:axId val="30571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409888"/>
        <c:crosses val="autoZero"/>
        <c:auto val="1"/>
        <c:lblAlgn val="ctr"/>
        <c:lblOffset val="100"/>
        <c:noMultiLvlLbl val="0"/>
      </c:catAx>
      <c:valAx>
        <c:axId val="37440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71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29E-4CA2-A3A0-0DC1CDE9DCBD}"/>
              </c:ext>
            </c:extLst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29E-4CA2-A3A0-0DC1CDE9DCB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7DE1955D-EB42-4C24-AD72-B0D9A6E9A6F3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29E-4CA2-A3A0-0DC1CDE9DCB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7A8452D8-13DF-44D4-A91C-E82F0837AD87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29E-4CA2-A3A0-0DC1CDE9DCB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effectLst>
                      <a:glow rad="12700">
                        <a:schemeClr val="accent1">
                          <a:alpha val="54000"/>
                        </a:schemeClr>
                      </a:glo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</c:v>
                </c:pt>
                <c:pt idx="1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9E-4CA2-A3A0-0DC1CDE9DCBD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effectLst>
                <a:glow rad="12700">
                  <a:schemeClr val="accent1">
                    <a:alpha val="54000"/>
                  </a:schemeClr>
                </a:glo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effectLst>
            <a:glow rad="12700">
              <a:schemeClr val="accent1">
                <a:alpha val="54000"/>
              </a:schemeClr>
            </a:glow>
          </a:effectLst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8BD7-EFE7-4A24-8916-32237B7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Psiholog</cp:lastModifiedBy>
  <cp:revision>36</cp:revision>
  <dcterms:created xsi:type="dcterms:W3CDTF">2024-02-28T07:57:00Z</dcterms:created>
  <dcterms:modified xsi:type="dcterms:W3CDTF">2024-04-09T06:23:00Z</dcterms:modified>
</cp:coreProperties>
</file>