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9" w:rsidRPr="00332386" w:rsidRDefault="009552FF" w:rsidP="0025564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Аналитический обзор по результат</w:t>
      </w:r>
      <w:r w:rsidR="003F2134">
        <w:rPr>
          <w:rFonts w:ascii="Times New Roman" w:hAnsi="Times New Roman" w:cs="Times New Roman"/>
          <w:b/>
          <w:sz w:val="32"/>
          <w:szCs w:val="32"/>
        </w:rPr>
        <w:t>ам</w:t>
      </w:r>
      <w:r w:rsidR="0025564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данных </w:t>
      </w:r>
      <w:r w:rsidR="00B76FAA" w:rsidRPr="00332386">
        <w:rPr>
          <w:rFonts w:ascii="Times New Roman" w:hAnsi="Times New Roman" w:cs="Times New Roman"/>
          <w:b/>
          <w:sz w:val="32"/>
          <w:szCs w:val="32"/>
        </w:rPr>
        <w:t>о количестве лиц с</w:t>
      </w:r>
      <w:r w:rsidR="008960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4A23">
        <w:rPr>
          <w:rFonts w:ascii="Times New Roman" w:hAnsi="Times New Roman" w:cs="Times New Roman"/>
          <w:b/>
          <w:sz w:val="32"/>
          <w:szCs w:val="32"/>
        </w:rPr>
        <w:t xml:space="preserve">выявленными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ФР</w:t>
      </w:r>
      <w:proofErr w:type="gramEnd"/>
      <w:r w:rsidR="0089601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ХНИЗ </w:t>
      </w:r>
      <w:r w:rsidR="00DC7263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рамках</w:t>
      </w:r>
      <w:r w:rsidR="003F2134">
        <w:rPr>
          <w:rFonts w:ascii="Times New Roman" w:hAnsi="Times New Roman" w:cs="Times New Roman"/>
          <w:b/>
          <w:sz w:val="32"/>
          <w:szCs w:val="32"/>
        </w:rPr>
        <w:t xml:space="preserve"> проекта «Создание комфортной среды для заявителей при представлении государственных и муниципальных услуг-залог успеха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2134">
        <w:rPr>
          <w:rFonts w:ascii="Times New Roman" w:hAnsi="Times New Roman" w:cs="Times New Roman"/>
          <w:b/>
          <w:sz w:val="32"/>
          <w:szCs w:val="32"/>
        </w:rPr>
        <w:t>МФЦ области»ежеквартальн</w:t>
      </w:r>
      <w:r w:rsidR="00064A23">
        <w:rPr>
          <w:rFonts w:ascii="Times New Roman" w:hAnsi="Times New Roman" w:cs="Times New Roman"/>
          <w:b/>
          <w:sz w:val="32"/>
          <w:szCs w:val="32"/>
        </w:rPr>
        <w:t>ой</w:t>
      </w:r>
      <w:r w:rsidR="003F2134">
        <w:rPr>
          <w:rFonts w:ascii="Times New Roman" w:hAnsi="Times New Roman" w:cs="Times New Roman"/>
          <w:b/>
          <w:sz w:val="32"/>
          <w:szCs w:val="32"/>
        </w:rPr>
        <w:t xml:space="preserve"> акции «Мое здоровье» </w:t>
      </w:r>
      <w:r w:rsidR="005172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584B">
        <w:rPr>
          <w:rFonts w:ascii="Times New Roman" w:hAnsi="Times New Roman" w:cs="Times New Roman"/>
          <w:b/>
          <w:sz w:val="32"/>
          <w:szCs w:val="32"/>
        </w:rPr>
        <w:t xml:space="preserve">марте </w:t>
      </w:r>
      <w:r w:rsidR="00B76FAA" w:rsidRPr="00332386">
        <w:rPr>
          <w:rFonts w:ascii="Times New Roman" w:hAnsi="Times New Roman" w:cs="Times New Roman"/>
          <w:b/>
          <w:sz w:val="32"/>
          <w:szCs w:val="32"/>
        </w:rPr>
        <w:t>201</w:t>
      </w:r>
      <w:r w:rsidR="00D4520A">
        <w:rPr>
          <w:rFonts w:ascii="Times New Roman" w:hAnsi="Times New Roman" w:cs="Times New Roman"/>
          <w:b/>
          <w:sz w:val="32"/>
          <w:szCs w:val="32"/>
        </w:rPr>
        <w:t>9</w:t>
      </w:r>
      <w:r w:rsidR="00B76FAA" w:rsidRPr="003323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6FAA" w:rsidRPr="00332386" w:rsidRDefault="00B76FAA" w:rsidP="00064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>(по</w:t>
      </w:r>
      <w:r w:rsidR="00276B53">
        <w:rPr>
          <w:rFonts w:ascii="Times New Roman" w:hAnsi="Times New Roman" w:cs="Times New Roman"/>
          <w:sz w:val="28"/>
          <w:szCs w:val="28"/>
        </w:rPr>
        <w:t xml:space="preserve"> результатам данных лиц прошедших комплексное</w:t>
      </w:r>
      <w:r w:rsidR="00F4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797">
        <w:rPr>
          <w:rFonts w:ascii="Times New Roman" w:hAnsi="Times New Roman" w:cs="Times New Roman"/>
          <w:sz w:val="28"/>
          <w:szCs w:val="28"/>
        </w:rPr>
        <w:t>скринингово</w:t>
      </w:r>
      <w:r w:rsidR="00276B5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76B53"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 w:rsidR="00F44797">
        <w:rPr>
          <w:rFonts w:ascii="Times New Roman" w:hAnsi="Times New Roman" w:cs="Times New Roman"/>
          <w:sz w:val="28"/>
          <w:szCs w:val="28"/>
        </w:rPr>
        <w:t xml:space="preserve"> в</w:t>
      </w:r>
      <w:r w:rsidRPr="00332386">
        <w:rPr>
          <w:rFonts w:ascii="Times New Roman" w:hAnsi="Times New Roman" w:cs="Times New Roman"/>
          <w:sz w:val="28"/>
          <w:szCs w:val="28"/>
        </w:rPr>
        <w:t xml:space="preserve"> «Центр</w:t>
      </w:r>
      <w:r w:rsidR="00F44797">
        <w:rPr>
          <w:rFonts w:ascii="Times New Roman" w:hAnsi="Times New Roman" w:cs="Times New Roman"/>
          <w:sz w:val="28"/>
          <w:szCs w:val="28"/>
        </w:rPr>
        <w:t>е</w:t>
      </w:r>
      <w:r w:rsidRPr="00332386">
        <w:rPr>
          <w:rFonts w:ascii="Times New Roman" w:hAnsi="Times New Roman" w:cs="Times New Roman"/>
          <w:sz w:val="28"/>
          <w:szCs w:val="28"/>
        </w:rPr>
        <w:t xml:space="preserve"> здоровья» ОГБУЗ «Центр медицинской профилактики города Старого Оскола»)</w:t>
      </w:r>
    </w:p>
    <w:p w:rsidR="00F44797" w:rsidRDefault="00F44797" w:rsidP="00FD52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6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064A23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="001D584B">
        <w:rPr>
          <w:rFonts w:ascii="Times New Roman" w:hAnsi="Times New Roman" w:cs="Times New Roman"/>
          <w:sz w:val="24"/>
          <w:szCs w:val="24"/>
        </w:rPr>
        <w:t>140</w:t>
      </w:r>
      <w:r w:rsidR="0006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064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Результаты д</w:t>
      </w:r>
      <w:r w:rsidR="00064A23">
        <w:rPr>
          <w:rFonts w:ascii="Times New Roman" w:hAnsi="Times New Roman" w:cs="Times New Roman"/>
          <w:sz w:val="24"/>
          <w:szCs w:val="24"/>
        </w:rPr>
        <w:t>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64A23">
        <w:rPr>
          <w:rFonts w:ascii="Times New Roman" w:hAnsi="Times New Roman" w:cs="Times New Roman"/>
          <w:sz w:val="24"/>
          <w:szCs w:val="24"/>
        </w:rPr>
        <w:t xml:space="preserve"> представлены  в виде диаграмм.</w:t>
      </w:r>
    </w:p>
    <w:p w:rsidR="00C154FD" w:rsidRPr="00A722CC" w:rsidRDefault="00064A23" w:rsidP="00860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1. </w:t>
      </w:r>
      <w:r w:rsidRPr="00064A23">
        <w:rPr>
          <w:rFonts w:ascii="Times New Roman" w:hAnsi="Times New Roman" w:cs="Times New Roman"/>
          <w:sz w:val="26"/>
          <w:szCs w:val="26"/>
        </w:rPr>
        <w:t>Выявленные факторы риска ХНИЗ</w:t>
      </w:r>
    </w:p>
    <w:p w:rsidR="00064A23" w:rsidRDefault="00611839" w:rsidP="00FD52D7">
      <w:pPr>
        <w:tabs>
          <w:tab w:val="left" w:pos="2694"/>
        </w:tabs>
        <w:ind w:left="1134" w:hanging="1134"/>
        <w:jc w:val="center"/>
      </w:pPr>
      <w:r w:rsidRPr="00332386">
        <w:rPr>
          <w:noProof/>
          <w:color w:val="FF0000"/>
        </w:rPr>
        <w:drawing>
          <wp:inline distT="0" distB="0" distL="0" distR="0">
            <wp:extent cx="6127668" cy="4310743"/>
            <wp:effectExtent l="19050" t="0" r="2548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4A23" w:rsidRDefault="00064A23"/>
    <w:p w:rsidR="00064A23" w:rsidRPr="00064A23" w:rsidRDefault="00064A23" w:rsidP="00064A23">
      <w:pPr>
        <w:rPr>
          <w:rFonts w:ascii="Times New Roman" w:hAnsi="Times New Roman" w:cs="Times New Roman"/>
          <w:sz w:val="26"/>
          <w:szCs w:val="26"/>
        </w:rPr>
      </w:pPr>
      <w:r w:rsidRPr="00064A23">
        <w:rPr>
          <w:rFonts w:ascii="Times New Roman" w:hAnsi="Times New Roman" w:cs="Times New Roman"/>
        </w:rPr>
        <w:t>Диаграмма 2</w:t>
      </w:r>
      <w:r w:rsidRPr="00064A23">
        <w:rPr>
          <w:rFonts w:ascii="Times New Roman" w:hAnsi="Times New Roman" w:cs="Times New Roman"/>
          <w:b/>
          <w:sz w:val="26"/>
          <w:szCs w:val="26"/>
        </w:rPr>
        <w:t xml:space="preserve">. Распределение </w:t>
      </w:r>
      <w:proofErr w:type="gramStart"/>
      <w:r w:rsidRPr="00064A23">
        <w:rPr>
          <w:rFonts w:ascii="Times New Roman" w:hAnsi="Times New Roman" w:cs="Times New Roman"/>
          <w:b/>
          <w:sz w:val="26"/>
          <w:szCs w:val="26"/>
        </w:rPr>
        <w:t>ФР</w:t>
      </w:r>
      <w:proofErr w:type="gramEnd"/>
      <w:r w:rsidRPr="00064A23">
        <w:rPr>
          <w:rFonts w:ascii="Times New Roman" w:hAnsi="Times New Roman" w:cs="Times New Roman"/>
          <w:b/>
          <w:sz w:val="26"/>
          <w:szCs w:val="26"/>
        </w:rPr>
        <w:t xml:space="preserve"> ХНИЗ среди мужчин</w:t>
      </w:r>
      <w:r w:rsidRPr="00064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064A23">
        <w:rPr>
          <w:rFonts w:ascii="Times New Roman" w:hAnsi="Times New Roman" w:cs="Times New Roman"/>
        </w:rPr>
        <w:t>Диаграмма</w:t>
      </w:r>
      <w:r>
        <w:rPr>
          <w:rFonts w:ascii="Times New Roman" w:hAnsi="Times New Roman" w:cs="Times New Roman"/>
        </w:rPr>
        <w:t xml:space="preserve"> 3</w:t>
      </w:r>
      <w:r w:rsidRPr="00064A23">
        <w:rPr>
          <w:rFonts w:ascii="Times New Roman" w:hAnsi="Times New Roman" w:cs="Times New Roman"/>
          <w:b/>
          <w:sz w:val="26"/>
          <w:szCs w:val="26"/>
        </w:rPr>
        <w:t xml:space="preserve">. Распределение </w:t>
      </w:r>
      <w:proofErr w:type="gramStart"/>
      <w:r w:rsidRPr="00064A23">
        <w:rPr>
          <w:rFonts w:ascii="Times New Roman" w:hAnsi="Times New Roman" w:cs="Times New Roman"/>
          <w:b/>
          <w:sz w:val="26"/>
          <w:szCs w:val="26"/>
        </w:rPr>
        <w:t>ФР</w:t>
      </w:r>
      <w:proofErr w:type="gramEnd"/>
      <w:r w:rsidRPr="00064A23">
        <w:rPr>
          <w:rFonts w:ascii="Times New Roman" w:hAnsi="Times New Roman" w:cs="Times New Roman"/>
          <w:b/>
          <w:sz w:val="26"/>
          <w:szCs w:val="26"/>
        </w:rPr>
        <w:t xml:space="preserve"> ХНИЗ среди </w:t>
      </w:r>
      <w:r>
        <w:rPr>
          <w:rFonts w:ascii="Times New Roman" w:hAnsi="Times New Roman" w:cs="Times New Roman"/>
          <w:b/>
          <w:sz w:val="26"/>
          <w:szCs w:val="26"/>
        </w:rPr>
        <w:t>женщин</w:t>
      </w:r>
    </w:p>
    <w:p w:rsidR="00064A23" w:rsidRPr="00064A23" w:rsidRDefault="00064A2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7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4"/>
        <w:gridCol w:w="9414"/>
      </w:tblGrid>
      <w:tr w:rsidR="00EC55CE" w:rsidTr="008074AA">
        <w:trPr>
          <w:trHeight w:val="2381"/>
        </w:trPr>
        <w:tc>
          <w:tcPr>
            <w:tcW w:w="6946" w:type="dxa"/>
          </w:tcPr>
          <w:p w:rsidR="00EC55CE" w:rsidRPr="003A4FE6" w:rsidRDefault="00EC55CE" w:rsidP="00E53C3E">
            <w:pPr>
              <w:ind w:left="-397"/>
              <w:jc w:val="both"/>
              <w:rPr>
                <w:sz w:val="32"/>
                <w:szCs w:val="32"/>
              </w:rPr>
            </w:pPr>
            <w:r w:rsidRPr="003A4FE6">
              <w:rPr>
                <w:noProof/>
                <w:sz w:val="32"/>
                <w:szCs w:val="32"/>
              </w:rPr>
              <w:drawing>
                <wp:inline distT="0" distB="0" distL="0" distR="0">
                  <wp:extent cx="4987636" cy="3621974"/>
                  <wp:effectExtent l="1905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0172" w:type="dxa"/>
          </w:tcPr>
          <w:p w:rsidR="00EC55CE" w:rsidRPr="003A4FE6" w:rsidRDefault="0052403C" w:rsidP="00E53C3E">
            <w:pPr>
              <w:pStyle w:val="a6"/>
              <w:keepNext/>
              <w:ind w:left="397"/>
              <w:jc w:val="both"/>
              <w:rPr>
                <w:sz w:val="32"/>
                <w:szCs w:val="32"/>
              </w:rPr>
            </w:pPr>
            <w:r w:rsidRPr="003A4FE6">
              <w:rPr>
                <w:noProof/>
                <w:sz w:val="32"/>
                <w:szCs w:val="32"/>
              </w:rPr>
              <w:drawing>
                <wp:inline distT="0" distB="0" distL="0" distR="0">
                  <wp:extent cx="4381995" cy="3621974"/>
                  <wp:effectExtent l="19050" t="0" r="0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0A2A07" w:rsidRDefault="000A2A07"/>
    <w:p w:rsidR="000A2A07" w:rsidRDefault="000A2A07"/>
    <w:p w:rsidR="00A45298" w:rsidRDefault="00A45298"/>
    <w:p w:rsidR="00B00FFD" w:rsidRPr="00FF32A8" w:rsidRDefault="00B00FFD" w:rsidP="00B00FF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 w:rsidRPr="00FF32A8">
        <w:rPr>
          <w:rFonts w:ascii="Times New Roman" w:eastAsia="Times New Roman" w:hAnsi="Times New Roman"/>
          <w:i/>
          <w:sz w:val="24"/>
          <w:szCs w:val="24"/>
        </w:rPr>
        <w:t>ОГБУЗ «Центр 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едицинской профилактики города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Старого Оскола»</w:t>
      </w:r>
    </w:p>
    <w:p w:rsidR="00B00FFD" w:rsidRPr="00FF32A8" w:rsidRDefault="000A2A07" w:rsidP="00B00FF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Медицинский статистик Гусейнова Н.Л.</w:t>
      </w:r>
    </w:p>
    <w:p w:rsidR="00C154FD" w:rsidRPr="00F1420F" w:rsidRDefault="00C154FD" w:rsidP="00B00FFD">
      <w:pPr>
        <w:tabs>
          <w:tab w:val="left" w:pos="6015"/>
        </w:tabs>
      </w:pPr>
    </w:p>
    <w:sectPr w:rsidR="00C154FD" w:rsidRPr="00F1420F" w:rsidSect="00E53C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AA"/>
    <w:rsid w:val="000205AD"/>
    <w:rsid w:val="00064A23"/>
    <w:rsid w:val="000A2A07"/>
    <w:rsid w:val="001872A0"/>
    <w:rsid w:val="001B40DD"/>
    <w:rsid w:val="001D584B"/>
    <w:rsid w:val="00236B3E"/>
    <w:rsid w:val="00237190"/>
    <w:rsid w:val="0025564E"/>
    <w:rsid w:val="002564C6"/>
    <w:rsid w:val="00276B53"/>
    <w:rsid w:val="002862AC"/>
    <w:rsid w:val="002E0FE5"/>
    <w:rsid w:val="002E13F9"/>
    <w:rsid w:val="00311850"/>
    <w:rsid w:val="00332386"/>
    <w:rsid w:val="003522C0"/>
    <w:rsid w:val="00386140"/>
    <w:rsid w:val="00393293"/>
    <w:rsid w:val="003A4E51"/>
    <w:rsid w:val="003A4FE6"/>
    <w:rsid w:val="003E0BBB"/>
    <w:rsid w:val="003F2134"/>
    <w:rsid w:val="0041595D"/>
    <w:rsid w:val="004832A3"/>
    <w:rsid w:val="00497B5A"/>
    <w:rsid w:val="004F24B9"/>
    <w:rsid w:val="005172A1"/>
    <w:rsid w:val="0052403C"/>
    <w:rsid w:val="0056026F"/>
    <w:rsid w:val="00581175"/>
    <w:rsid w:val="00595CA5"/>
    <w:rsid w:val="005A616A"/>
    <w:rsid w:val="005B06F6"/>
    <w:rsid w:val="005D2031"/>
    <w:rsid w:val="00611839"/>
    <w:rsid w:val="006668C2"/>
    <w:rsid w:val="006C4339"/>
    <w:rsid w:val="006D1402"/>
    <w:rsid w:val="0071762E"/>
    <w:rsid w:val="007529C5"/>
    <w:rsid w:val="007D3BED"/>
    <w:rsid w:val="007F3CBD"/>
    <w:rsid w:val="008074AA"/>
    <w:rsid w:val="008468D3"/>
    <w:rsid w:val="00860EBE"/>
    <w:rsid w:val="0089017D"/>
    <w:rsid w:val="00896014"/>
    <w:rsid w:val="008D2BD3"/>
    <w:rsid w:val="00916E8C"/>
    <w:rsid w:val="009552FF"/>
    <w:rsid w:val="00967F36"/>
    <w:rsid w:val="009F2C20"/>
    <w:rsid w:val="009F6E3B"/>
    <w:rsid w:val="00A04C21"/>
    <w:rsid w:val="00A05326"/>
    <w:rsid w:val="00A45298"/>
    <w:rsid w:val="00A50D09"/>
    <w:rsid w:val="00A60A44"/>
    <w:rsid w:val="00A722CC"/>
    <w:rsid w:val="00A81756"/>
    <w:rsid w:val="00A94715"/>
    <w:rsid w:val="00B00FFD"/>
    <w:rsid w:val="00B76FAA"/>
    <w:rsid w:val="00BC4706"/>
    <w:rsid w:val="00BF6D3C"/>
    <w:rsid w:val="00C154FD"/>
    <w:rsid w:val="00C85626"/>
    <w:rsid w:val="00C978A0"/>
    <w:rsid w:val="00D123BA"/>
    <w:rsid w:val="00D12AD4"/>
    <w:rsid w:val="00D131E4"/>
    <w:rsid w:val="00D14D0E"/>
    <w:rsid w:val="00D20338"/>
    <w:rsid w:val="00D42833"/>
    <w:rsid w:val="00D4520A"/>
    <w:rsid w:val="00DC7263"/>
    <w:rsid w:val="00E01EC4"/>
    <w:rsid w:val="00E374EA"/>
    <w:rsid w:val="00E53C3E"/>
    <w:rsid w:val="00EA7887"/>
    <w:rsid w:val="00EC55CE"/>
    <w:rsid w:val="00EE2AEA"/>
    <w:rsid w:val="00EE3709"/>
    <w:rsid w:val="00EF591A"/>
    <w:rsid w:val="00F1420F"/>
    <w:rsid w:val="00F2145E"/>
    <w:rsid w:val="00F40A1E"/>
    <w:rsid w:val="00F44797"/>
    <w:rsid w:val="00F771A6"/>
    <w:rsid w:val="00FD0FB0"/>
    <w:rsid w:val="00FD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autoTitleDeleted val="1"/>
    <c:plotArea>
      <c:layout>
        <c:manualLayout>
          <c:layoutTarget val="inner"/>
          <c:xMode val="edge"/>
          <c:yMode val="edge"/>
          <c:x val="0.4748940379929209"/>
          <c:y val="0.12102693201612826"/>
          <c:w val="0.47950949692444317"/>
          <c:h val="0.77466065594724498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факторов риска (в процентах)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0.19842801535592341"/>
                  <c:y val="-2.94612784849376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CB-4541-A277-40AB5CBA924E}"/>
                </c:ext>
              </c:extLst>
            </c:dLbl>
            <c:dLbl>
              <c:idx val="1"/>
              <c:layout>
                <c:manualLayout>
                  <c:x val="3.5987099823293359E-2"/>
                  <c:y val="-1.022097582713593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CB-4541-A277-40AB5CBA924E}"/>
                </c:ext>
              </c:extLst>
            </c:dLbl>
            <c:dLbl>
              <c:idx val="2"/>
              <c:layout>
                <c:manualLayout>
                  <c:x val="0.18575043556537385"/>
                  <c:y val="-4.99032301392128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47%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CB-4541-A277-40AB5CBA924E}"/>
                </c:ext>
              </c:extLst>
            </c:dLbl>
            <c:dLbl>
              <c:idx val="3"/>
              <c:layout>
                <c:manualLayout>
                  <c:x val="0.25436038636557995"/>
                  <c:y val="-5.89225569698773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CB-4541-A277-40AB5CBA924E}"/>
                </c:ext>
              </c:extLst>
            </c:dLbl>
            <c:dLbl>
              <c:idx val="4"/>
              <c:layout>
                <c:manualLayout>
                  <c:x val="0.1739341948682599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CB-4541-A277-40AB5CBA924E}"/>
                </c:ext>
              </c:extLst>
            </c:dLbl>
            <c:dLbl>
              <c:idx val="5"/>
              <c:layout>
                <c:manualLayout>
                  <c:x val="0.21845390448699256"/>
                  <c:y val="-1.022329561284501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CB-4541-A277-40AB5CBA924E}"/>
                </c:ext>
              </c:extLst>
            </c:dLbl>
            <c:dLbl>
              <c:idx val="6"/>
              <c:layout>
                <c:manualLayout>
                  <c:x val="0.16149863210604759"/>
                  <c:y val="-8.838615524052352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4.9553598530468784E-2"/>
                  <c:y val="2.7005859970528499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CB-4541-A277-40AB5CBA924E}"/>
                </c:ext>
              </c:extLst>
            </c:dLbl>
            <c:dLbl>
              <c:idx val="8"/>
              <c:layout>
                <c:manualLayout>
                  <c:x val="9.0762260618558327E-2"/>
                  <c:y val="-2.94612784849386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CB-4541-A277-40AB5CBA924E}"/>
                </c:ext>
              </c:extLst>
            </c:dLbl>
            <c:dLbl>
              <c:idx val="9"/>
              <c:layout>
                <c:manualLayout>
                  <c:x val="6.9713633310420839E-2"/>
                  <c:y val="-1.022097582713699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12%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CB-4541-A277-40AB5CBA924E}"/>
                </c:ext>
              </c:extLst>
            </c:dLbl>
            <c:dLbl>
              <c:idx val="10"/>
              <c:layout>
                <c:manualLayout>
                  <c:x val="2.694336573064990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Повышенное АД</c:v>
                </c:pt>
                <c:pt idx="1">
                  <c:v>Курение табака</c:v>
                </c:pt>
                <c:pt idx="2">
                  <c:v>Ожирение</c:v>
                </c:pt>
                <c:pt idx="3">
                  <c:v>Избыточная масса тела</c:v>
                </c:pt>
                <c:pt idx="4">
                  <c:v>Нерациональное питание</c:v>
                </c:pt>
                <c:pt idx="5">
                  <c:v>Дислипидемия</c:v>
                </c:pt>
                <c:pt idx="6">
                  <c:v>Гиподинамия</c:v>
                </c:pt>
                <c:pt idx="7">
                  <c:v>Риск пагубного потребления алкоголя</c:v>
                </c:pt>
                <c:pt idx="8">
                  <c:v>Высокий суммарный риск ССЗ</c:v>
                </c:pt>
                <c:pt idx="9">
                  <c:v>Гипергликемия</c:v>
                </c:pt>
                <c:pt idx="10">
                  <c:v>Отсутствие факторов риска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54</c:v>
                </c:pt>
                <c:pt idx="1">
                  <c:v>3</c:v>
                </c:pt>
                <c:pt idx="2">
                  <c:v>47</c:v>
                </c:pt>
                <c:pt idx="3">
                  <c:v>73</c:v>
                </c:pt>
                <c:pt idx="4">
                  <c:v>48</c:v>
                </c:pt>
                <c:pt idx="5">
                  <c:v>61</c:v>
                </c:pt>
                <c:pt idx="6">
                  <c:v>41</c:v>
                </c:pt>
                <c:pt idx="7">
                  <c:v>1</c:v>
                </c:pt>
                <c:pt idx="8">
                  <c:v>20</c:v>
                </c:pt>
                <c:pt idx="9">
                  <c:v>12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2CB-4541-A277-40AB5CBA924E}"/>
            </c:ext>
          </c:extLst>
        </c:ser>
        <c:overlap val="100"/>
        <c:axId val="62706816"/>
        <c:axId val="62708352"/>
      </c:barChart>
      <c:catAx>
        <c:axId val="62706816"/>
        <c:scaling>
          <c:orientation val="minMax"/>
        </c:scaling>
        <c:axPos val="l"/>
        <c:numFmt formatCode="General" sourceLinked="0"/>
        <c:tickLblPos val="nextTo"/>
        <c:crossAx val="62708352"/>
        <c:crosses val="autoZero"/>
        <c:auto val="1"/>
        <c:lblAlgn val="ctr"/>
        <c:lblOffset val="100"/>
      </c:catAx>
      <c:valAx>
        <c:axId val="62708352"/>
        <c:scaling>
          <c:orientation val="minMax"/>
        </c:scaling>
        <c:axPos val="b"/>
        <c:majorGridlines/>
        <c:numFmt formatCode="General" sourceLinked="1"/>
        <c:tickLblPos val="nextTo"/>
        <c:crossAx val="6270681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0481564396870614"/>
          <c:y val="0.21973518150728338"/>
          <c:w val="0.82031423155438965"/>
          <c:h val="0.3173522059742561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факторов риска среди мужчин (в процентах)</c:v>
                </c:pt>
              </c:strCache>
            </c:strRef>
          </c:tx>
          <c:dLbls>
            <c:dLbl>
              <c:idx val="0"/>
              <c:layout>
                <c:manualLayout>
                  <c:x val="-5.0927934596670726E-3"/>
                  <c:y val="-9.13719977007011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-0.148498028975359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3.4132402605162046E-3"/>
                  <c:y val="-0.1751417873237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8.78139931429656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-9.82817656890967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-8.2127039012428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2.546296481940543E-3"/>
                  <c:y val="-8.06466308151300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4.774807143103476E-3"/>
                  <c:y val="-8.03150436750788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1.6793527033647877E-3"/>
                  <c:y val="-9.53129426108525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5.092592963881086E-3"/>
                  <c:y val="-7.72948673844704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5.6800456168012276E-4"/>
                  <c:y val="-0.122723133849111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65%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>
                <c:manualLayout>
                  <c:x val="-2.546296481940543E-3"/>
                  <c:y val="-8.4153006067961847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Повышенный уровень  АД</c:v>
                </c:pt>
                <c:pt idx="1">
                  <c:v>Курение</c:v>
                </c:pt>
                <c:pt idx="2">
                  <c:v>Риск пагубного потребления алкоголя</c:v>
                </c:pt>
                <c:pt idx="3">
                  <c:v>Избыточная масса тела</c:v>
                </c:pt>
                <c:pt idx="4">
                  <c:v>Ожирение</c:v>
                </c:pt>
                <c:pt idx="5">
                  <c:v>Низкая физическая активность</c:v>
                </c:pt>
                <c:pt idx="6">
                  <c:v>Нерациональное питание</c:v>
                </c:pt>
                <c:pt idx="7">
                  <c:v>Стресс</c:v>
                </c:pt>
                <c:pt idx="8">
                  <c:v>Дислипидемия</c:v>
                </c:pt>
                <c:pt idx="9">
                  <c:v>Высокий  суммарный риск ССЗ</c:v>
                </c:pt>
                <c:pt idx="10">
                  <c:v>Гипергликемия</c:v>
                </c:pt>
                <c:pt idx="11">
                  <c:v>Отсутствие факторов риска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</c:v>
                </c:pt>
                <c:pt idx="1">
                  <c:v>75</c:v>
                </c:pt>
                <c:pt idx="2">
                  <c:v>100</c:v>
                </c:pt>
                <c:pt idx="3">
                  <c:v>21</c:v>
                </c:pt>
                <c:pt idx="4">
                  <c:v>48</c:v>
                </c:pt>
                <c:pt idx="5">
                  <c:v>19</c:v>
                </c:pt>
                <c:pt idx="6">
                  <c:v>13</c:v>
                </c:pt>
                <c:pt idx="7">
                  <c:v>26</c:v>
                </c:pt>
                <c:pt idx="8">
                  <c:v>11</c:v>
                </c:pt>
                <c:pt idx="9">
                  <c:v>32</c:v>
                </c:pt>
                <c:pt idx="10">
                  <c:v>65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2C6-4B0B-AE53-E81C0CD56E80}"/>
            </c:ext>
          </c:extLst>
        </c:ser>
        <c:overlap val="100"/>
        <c:axId val="63340544"/>
        <c:axId val="63342080"/>
      </c:barChart>
      <c:catAx>
        <c:axId val="633405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4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342080"/>
        <c:crosses val="autoZero"/>
        <c:auto val="1"/>
        <c:lblAlgn val="ctr"/>
        <c:lblOffset val="100"/>
      </c:catAx>
      <c:valAx>
        <c:axId val="63342080"/>
        <c:scaling>
          <c:orientation val="minMax"/>
        </c:scaling>
        <c:axPos val="l"/>
        <c:majorGridlines/>
        <c:numFmt formatCode="General" sourceLinked="1"/>
        <c:tickLblPos val="nextTo"/>
        <c:crossAx val="6334054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0481564396870617"/>
          <c:y val="0.21973518150728355"/>
          <c:w val="0.82031423155438965"/>
          <c:h val="0.3173522059742565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факторов риска среди мужчин (в процентах)</c:v>
                </c:pt>
              </c:strCache>
            </c:strRef>
          </c:tx>
          <c:spPr>
            <a:solidFill>
              <a:schemeClr val="accent2"/>
            </a:solidFill>
          </c:spPr>
          <c:dLbls>
            <c:dLbl>
              <c:idx val="0"/>
              <c:layout>
                <c:manualLayout>
                  <c:x val="2.8979950912769192E-3"/>
                  <c:y val="-0.179031379021494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8982232978358034E-3"/>
                  <c:y val="-9.08361020813512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4.7439579460953818E-3"/>
                  <c:y val="-3.31937777576537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105523853861084E-2"/>
                  <c:y val="-0.179935029903582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1.1592664984784328E-2"/>
                  <c:y val="-0.153090552278950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2.6293959714696171E-3"/>
                  <c:y val="-0.184767477624080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5.7964465956716086E-3"/>
                  <c:y val="-0.195051924723921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0"/>
                  <c:y val="-0.15356211833657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5.1506220340278815E-4"/>
                  <c:y val="-0.199597512295781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"/>
                  <c:y val="-0.147035566793135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5.796446595671606E-3"/>
                  <c:y val="-9.8178507079288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>
                <c:manualLayout>
                  <c:x val="5.7962183891127218E-3"/>
                  <c:y val="-0.189344263652914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00%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Повышенный уровень  АД</c:v>
                </c:pt>
                <c:pt idx="1">
                  <c:v>Курение</c:v>
                </c:pt>
                <c:pt idx="2">
                  <c:v>Риск пагубного потребления алкоголя</c:v>
                </c:pt>
                <c:pt idx="3">
                  <c:v>Избыточная масса тела</c:v>
                </c:pt>
                <c:pt idx="4">
                  <c:v>Ожирение</c:v>
                </c:pt>
                <c:pt idx="5">
                  <c:v>Низкая физическая активность</c:v>
                </c:pt>
                <c:pt idx="6">
                  <c:v>Нерациональное питание</c:v>
                </c:pt>
                <c:pt idx="7">
                  <c:v>Стресс</c:v>
                </c:pt>
                <c:pt idx="8">
                  <c:v>Дислипидемия</c:v>
                </c:pt>
                <c:pt idx="9">
                  <c:v>Высокий  суммарный риск ССЗ</c:v>
                </c:pt>
                <c:pt idx="10">
                  <c:v>Гипергликемия</c:v>
                </c:pt>
                <c:pt idx="11">
                  <c:v>Отсутствие факторов риска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83</c:v>
                </c:pt>
                <c:pt idx="1">
                  <c:v>25</c:v>
                </c:pt>
                <c:pt idx="2">
                  <c:v>0</c:v>
                </c:pt>
                <c:pt idx="3">
                  <c:v>79</c:v>
                </c:pt>
                <c:pt idx="4">
                  <c:v>52</c:v>
                </c:pt>
                <c:pt idx="5">
                  <c:v>80</c:v>
                </c:pt>
                <c:pt idx="6">
                  <c:v>87</c:v>
                </c:pt>
                <c:pt idx="7">
                  <c:v>74</c:v>
                </c:pt>
                <c:pt idx="8">
                  <c:v>89</c:v>
                </c:pt>
                <c:pt idx="9">
                  <c:v>68</c:v>
                </c:pt>
                <c:pt idx="10">
                  <c:v>35</c:v>
                </c:pt>
                <c:pt idx="1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2C6-4B0B-AE53-E81C0CD56E80}"/>
            </c:ext>
          </c:extLst>
        </c:ser>
        <c:overlap val="100"/>
        <c:axId val="63628416"/>
        <c:axId val="63629952"/>
      </c:barChart>
      <c:catAx>
        <c:axId val="636284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629952"/>
        <c:crosses val="autoZero"/>
        <c:auto val="1"/>
        <c:lblAlgn val="ctr"/>
        <c:lblOffset val="100"/>
      </c:catAx>
      <c:valAx>
        <c:axId val="63629952"/>
        <c:scaling>
          <c:orientation val="minMax"/>
        </c:scaling>
        <c:axPos val="l"/>
        <c:majorGridlines/>
        <c:numFmt formatCode="General" sourceLinked="1"/>
        <c:tickLblPos val="nextTo"/>
        <c:crossAx val="636284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42CBA-94EA-45F0-9867-0A24B6D2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58</cp:revision>
  <cp:lastPrinted>2018-07-18T06:16:00Z</cp:lastPrinted>
  <dcterms:created xsi:type="dcterms:W3CDTF">2018-04-13T11:19:00Z</dcterms:created>
  <dcterms:modified xsi:type="dcterms:W3CDTF">2019-04-09T05:42:00Z</dcterms:modified>
</cp:coreProperties>
</file>