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Office_Excel1.xlsx" ContentType="application/vnd.openxmlformats-officedocument.spreadsheetml.sheet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85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Анализ и мониторинг результатов данных медико – социологического опроса населения Старооскольского городского округа  «Раннее выявление онкопатологии » в рамках Всемирного дня борьбы с онкологическими заболеваниями 4 февраля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283" w:right="0" w:firstLine="56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Всемирный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день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борьбы</w:t>
      </w:r>
      <w:r>
        <w:rPr>
          <w:rFonts w:cs="Times New Roman" w:ascii="Times New Roman" w:hAnsi="Times New Roman"/>
          <w:sz w:val="24"/>
          <w:szCs w:val="24"/>
        </w:rPr>
        <w:t xml:space="preserve"> против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рака</w:t>
      </w:r>
      <w:r>
        <w:rPr>
          <w:rFonts w:cs="Times New Roman" w:ascii="Times New Roman" w:hAnsi="Times New Roman"/>
          <w:sz w:val="24"/>
          <w:szCs w:val="24"/>
        </w:rPr>
        <w:t xml:space="preserve"> — памятная дата, отмечаемая ежегодно 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февраля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Провозглашена «Международным союзом по борьбе с онкологическими заболеваниями» (Международный союз против рака) (UICC). </w:t>
      </w:r>
    </w:p>
    <w:p>
      <w:pPr>
        <w:pStyle w:val="Normal"/>
        <w:widowControl/>
        <w:bidi w:val="0"/>
        <w:spacing w:lineRule="auto" w:line="276" w:before="0" w:after="0"/>
        <w:ind w:left="283" w:right="0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Цель этого международного дня — повышение осведомлённости о раке как об одном из самых страшных заболеваний современной цивилизации, привлечение внимания к предотвращению, выявлению и лечению этого заболевания.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/>
      </w:pPr>
      <w:r>
        <w:rPr/>
        <w:t>Онкологические заболевания занимают второе место в мире среди причин смерти. Болезнь коварна и изменчива, она имеет способность эволюционировать и с годами все чаще затрагивает молодёжь и детей. Раковая опухоль может долго не давать о себе знать, развиваться в организме бессимптомно. Поэтому очень часто выявляют ее поздно, когда бороться уже невозможно.</w:t>
      </w:r>
    </w:p>
    <w:p>
      <w:pPr>
        <w:pStyle w:val="NormalWeb"/>
        <w:widowControl/>
        <w:tabs>
          <w:tab w:val="clear" w:pos="708"/>
          <w:tab w:val="left" w:pos="1075" w:leader="none"/>
        </w:tabs>
        <w:bidi w:val="0"/>
        <w:spacing w:lineRule="auto" w:line="240" w:before="0" w:after="0"/>
        <w:ind w:left="283" w:right="0" w:firstLine="567"/>
        <w:jc w:val="both"/>
        <w:rPr/>
      </w:pPr>
      <w:r>
        <w:rPr/>
        <w:t>В структуре смертности от злокачественных новообразований лидируют опухоли органов дыхания (трахеи, бронхов, легкого), толстой кишки, желудка, молочной железы, поджелудочной железы.</w:t>
      </w:r>
    </w:p>
    <w:p>
      <w:pPr>
        <w:pStyle w:val="Normal"/>
        <w:widowControl/>
        <w:tabs>
          <w:tab w:val="clear" w:pos="708"/>
          <w:tab w:val="left" w:pos="1075" w:leader="none"/>
        </w:tabs>
        <w:bidi w:val="0"/>
        <w:spacing w:lineRule="auto" w:line="240" w:before="0" w:after="0"/>
        <w:ind w:left="283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всему миру ежегодно около 4 млн. человек можно спасти, соблюдая меры профилактики и раннего выявления раковых заболеваний, основными из которых являются: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Отказ от курения и меры по борьбе с пассивным курением;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Соблюдение принципов здорового питания и достаточной физической активности;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Поддержание оптимальной массы тела;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Ограничение употребления алкоголя любого типа;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Ограничение времени пребывания на открытом солнце;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Защита от воздействия канцерогенных веществ;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Приверженность грудному вскармливанию;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Вакцинация от вируса гепатита В и от вируса папилломы человека;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Регулярное прохождение диспансеризации и профилактических медицинских осмотров.</w:t>
      </w:r>
    </w:p>
    <w:p>
      <w:pPr>
        <w:pStyle w:val="Normal"/>
        <w:widowControl/>
        <w:bidi w:val="0"/>
        <w:spacing w:lineRule="auto" w:line="240" w:beforeAutospacing="1" w:afterAutospacing="1"/>
        <w:ind w:left="283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Сотрудниками </w:t>
      </w:r>
      <w:r>
        <w:rPr>
          <w:rFonts w:cs="Times New Roman" w:ascii="Times New Roman" w:hAnsi="Times New Roman"/>
          <w:sz w:val="24"/>
          <w:szCs w:val="24"/>
        </w:rPr>
        <w:t>отдела мониторинга факторов риска  ОГБУЗ «Центр общественного здоровья и  медицинской профилактики города Старого Оскола» в январе –  феврале 2022 года проведено  медико – социологическое исследование среди разновозрастных групп населения Старооскольского городского округа .</w:t>
      </w:r>
    </w:p>
    <w:p>
      <w:pPr>
        <w:pStyle w:val="Normal"/>
        <w:widowControl/>
        <w:bidi w:val="0"/>
        <w:spacing w:lineRule="auto" w:line="240" w:before="0" w:after="0"/>
        <w:ind w:left="283" w:right="0" w:firstLine="567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>Цель исследования:</w:t>
      </w:r>
    </w:p>
    <w:p>
      <w:pPr>
        <w:pStyle w:val="NormalWeb"/>
        <w:spacing w:beforeAutospacing="0" w:before="0" w:afterAutospacing="0"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Определение уровня информированности  населения Старооскольского городского округа по вопросам профилактики онкологических заболеваний.</w:t>
      </w:r>
    </w:p>
    <w:p>
      <w:pPr>
        <w:pStyle w:val="NormalWeb"/>
        <w:spacing w:beforeAutospacing="0" w:before="0" w:afterAutospacing="0"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Решение проблем раннего выявления онкологического заболевания – залога его излечения.</w:t>
      </w:r>
    </w:p>
    <w:p>
      <w:pPr>
        <w:pStyle w:val="NormalWeb"/>
        <w:spacing w:beforeAutospacing="0" w:before="0" w:afterAutospacing="0"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медико – социологическом исследовании приняли участие </w:t>
      </w:r>
      <w:r>
        <w:rPr>
          <w:sz w:val="24"/>
          <w:szCs w:val="24"/>
          <w:shd w:fill="auto" w:val="clear"/>
        </w:rPr>
        <w:t>103</w:t>
      </w:r>
      <w:r>
        <w:rPr>
          <w:sz w:val="24"/>
          <w:szCs w:val="24"/>
          <w:shd w:fill="auto" w:val="clear"/>
        </w:rPr>
        <w:t xml:space="preserve"> </w:t>
      </w:r>
      <w:r>
        <w:rPr>
          <w:sz w:val="24"/>
          <w:szCs w:val="24"/>
        </w:rPr>
        <w:t>респондент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>
      <w:pPr>
        <w:pStyle w:val="NormalWeb"/>
        <w:spacing w:beforeAutospacing="0" w:before="0" w:afterAutospacing="0" w:after="0"/>
        <w:ind w:left="284" w:firstLine="567"/>
        <w:jc w:val="both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Web"/>
        <w:spacing w:beforeAutospacing="0" w:before="0" w:afterAutospacing="0" w:after="0"/>
        <w:ind w:left="284" w:firstLine="567"/>
        <w:jc w:val="both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 xml:space="preserve">Участникам предложено ответить на ряд вопросов </w:t>
      </w:r>
      <w:r>
        <w:rPr>
          <w:rFonts w:eastAsia="Times New Roman" w:cs="Times New Roman"/>
          <w:sz w:val="24"/>
          <w:szCs w:val="24"/>
          <w:shd w:fill="auto" w:val="clear"/>
          <w:lang w:eastAsia="ru-RU"/>
        </w:rPr>
        <w:t>анкеты</w:t>
      </w:r>
      <w:r>
        <w:rPr>
          <w:sz w:val="24"/>
          <w:szCs w:val="24"/>
          <w:shd w:fill="auto" w:val="clear"/>
        </w:rPr>
        <w:t xml:space="preserve"> «Раннее выявление онкопатологии», разработанной специалистами  отдела мониторинга факторов риска по методическим рекомендациям ФГБУ « Национальный медицинский исследовательский центр профилактической медицины».</w:t>
      </w:r>
    </w:p>
    <w:p>
      <w:pPr>
        <w:pStyle w:val="Normal"/>
        <w:spacing w:lineRule="auto" w:line="240" w:before="0" w:after="0"/>
        <w:ind w:left="142" w:firstLine="425"/>
        <w:jc w:val="center"/>
        <w:rPr>
          <w:rFonts w:ascii="Times New Roman" w:hAnsi="Times New Roman" w:cs="Times New Roman"/>
          <w:b/>
          <w:b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42" w:firstLine="425"/>
        <w:jc w:val="center"/>
        <w:rPr>
          <w:rFonts w:ascii="Times New Roman" w:hAnsi="Times New Roman" w:cs="Times New Roman"/>
          <w:b/>
          <w:b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42" w:firstLine="425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Бланк опроса – интервью на тему «Ранее выявление онкопатологии»</w:t>
      </w:r>
    </w:p>
    <w:p>
      <w:pPr>
        <w:pStyle w:val="Normal"/>
        <w:spacing w:lineRule="auto" w:line="240" w:before="0" w:after="0"/>
        <w:ind w:left="142" w:firstLine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Считаете ли Вы, что диспансеризация – это ранее выявление онкопатологии?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</w:t>
      </w:r>
    </w:p>
    <w:p>
      <w:pPr>
        <w:pStyle w:val="Normal"/>
        <w:spacing w:lineRule="auto" w:line="240" w:before="0" w:after="0"/>
        <w:ind w:left="142" w:firstLine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Нуждаетесь ли  Вы в информации по профилактике онкозаболеваний?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</w:t>
      </w:r>
    </w:p>
    <w:p>
      <w:pPr>
        <w:pStyle w:val="Normal"/>
        <w:spacing w:lineRule="auto" w:line="240" w:before="0" w:after="0"/>
        <w:ind w:left="142" w:firstLine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Как Вы считаете, вредные привычки способствуют развитию рака?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</w:t>
      </w:r>
    </w:p>
    <w:p>
      <w:pPr>
        <w:pStyle w:val="ListParagraph"/>
        <w:spacing w:lineRule="auto" w:line="240" w:before="0" w:after="0"/>
        <w:ind w:left="1287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142" w:firstLine="425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Итоговые графические изображения и анализ результатов</w:t>
      </w:r>
    </w:p>
    <w:p>
      <w:pPr>
        <w:pStyle w:val="Normal"/>
        <w:spacing w:lineRule="auto" w:line="240" w:before="0" w:after="0"/>
        <w:ind w:left="142" w:firstLine="425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42" w:firstLine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статистической обработки изложены в виде графических изображений, обеспечивающих наглядность и дающих возможность количественной и качественной характеристики анализа данных.</w:t>
      </w:r>
    </w:p>
    <w:p>
      <w:pPr>
        <w:pStyle w:val="Normal"/>
        <w:spacing w:lineRule="auto" w:line="240" w:before="0"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Диаграмма №1</w:t>
      </w:r>
      <w:r>
        <w:rPr>
          <w:rFonts w:cs="Times New Roman" w:ascii="Times New Roman" w:hAnsi="Times New Roman"/>
          <w:sz w:val="24"/>
          <w:szCs w:val="24"/>
        </w:rPr>
        <w:t>. Считаете ли Вы, что диспансеризация - это раннее выявление онкопатологии?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 –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81</w:t>
      </w:r>
      <w:r>
        <w:rPr>
          <w:rFonts w:cs="Times New Roman" w:ascii="Times New Roman" w:hAnsi="Times New Roman"/>
          <w:sz w:val="24"/>
          <w:szCs w:val="24"/>
        </w:rPr>
        <w:t xml:space="preserve"> респондент, что составляет </w:t>
      </w:r>
      <w:r>
        <w:rPr>
          <w:rFonts w:cs="Times New Roman" w:ascii="Times New Roman" w:hAnsi="Times New Roman"/>
          <w:sz w:val="24"/>
          <w:szCs w:val="24"/>
        </w:rPr>
        <w:t>78</w:t>
      </w:r>
      <w:r>
        <w:rPr>
          <w:rFonts w:cs="Times New Roman" w:ascii="Times New Roman" w:hAnsi="Times New Roman"/>
          <w:sz w:val="24"/>
          <w:szCs w:val="24"/>
        </w:rPr>
        <w:t>,6%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Нет – 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cs="Times New Roman" w:ascii="Times New Roman" w:hAnsi="Times New Roman"/>
          <w:sz w:val="24"/>
          <w:szCs w:val="24"/>
        </w:rPr>
        <w:t xml:space="preserve"> респондент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, что составляет </w:t>
      </w:r>
      <w:r>
        <w:rPr>
          <w:rFonts w:cs="Times New Roman" w:ascii="Times New Roman" w:hAnsi="Times New Roman"/>
          <w:sz w:val="24"/>
          <w:szCs w:val="24"/>
        </w:rPr>
        <w:t>21,4</w:t>
      </w:r>
      <w:r>
        <w:rPr>
          <w:rFonts w:cs="Times New Roman" w:ascii="Times New Roman" w:hAnsi="Times New Roman"/>
          <w:sz w:val="24"/>
          <w:szCs w:val="24"/>
        </w:rPr>
        <w:t>%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007" w:hanging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jc w:val="center"/>
        <w:rPr/>
      </w:pPr>
      <w:r>
        <w:rPr/>
        <w:drawing>
          <wp:inline distT="0" distB="0" distL="0" distR="0">
            <wp:extent cx="3529965" cy="158813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before="0" w:after="0"/>
        <w:ind w:left="142" w:firstLine="709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Вывод</w:t>
      </w:r>
      <w:r>
        <w:rPr>
          <w:rFonts w:cs="Times New Roman" w:ascii="Times New Roman" w:hAnsi="Times New Roman"/>
          <w:i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большая </w:t>
      </w:r>
      <w:r>
        <w:rPr>
          <w:rFonts w:cs="Times New Roman" w:ascii="Times New Roman" w:hAnsi="Times New Roman"/>
          <w:i/>
          <w:sz w:val="24"/>
          <w:szCs w:val="24"/>
        </w:rPr>
        <w:t>часть опрошенных</w:t>
      </w:r>
      <w:r>
        <w:rPr>
          <w:rFonts w:cs="Times New Roman" w:ascii="Times New Roman" w:hAnsi="Times New Roman"/>
          <w:i/>
          <w:sz w:val="24"/>
          <w:szCs w:val="24"/>
        </w:rPr>
        <w:t xml:space="preserve"> считают, что диспансеризация способствует раннему выявлению онкопатологии.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2" w:firstLine="425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Диаграмма №2</w:t>
      </w:r>
      <w:r>
        <w:rPr>
          <w:rFonts w:cs="Times New Roman" w:ascii="Times New Roman" w:hAnsi="Times New Roman"/>
          <w:sz w:val="24"/>
          <w:szCs w:val="24"/>
        </w:rPr>
        <w:t>. Нуждаетесь ли  Вы в информации по профилактике онкозаболеваний?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 –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86 </w:t>
      </w:r>
      <w:r>
        <w:rPr>
          <w:rFonts w:cs="Times New Roman" w:ascii="Times New Roman" w:hAnsi="Times New Roman"/>
          <w:sz w:val="24"/>
          <w:szCs w:val="24"/>
        </w:rPr>
        <w:t>респондент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ов</w:t>
      </w:r>
      <w:r>
        <w:rPr>
          <w:rFonts w:cs="Times New Roman" w:ascii="Times New Roman" w:hAnsi="Times New Roman"/>
          <w:sz w:val="24"/>
          <w:szCs w:val="24"/>
        </w:rPr>
        <w:t xml:space="preserve">, что составляет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83,5</w:t>
      </w:r>
      <w:r>
        <w:rPr>
          <w:rFonts w:cs="Times New Roman" w:ascii="Times New Roman" w:hAnsi="Times New Roman"/>
          <w:sz w:val="24"/>
          <w:szCs w:val="24"/>
        </w:rPr>
        <w:t>%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Нет –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 респондентов, что составляет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16,5</w:t>
      </w:r>
      <w:r>
        <w:rPr>
          <w:rFonts w:cs="Times New Roman" w:ascii="Times New Roman" w:hAnsi="Times New Roman"/>
          <w:sz w:val="24"/>
          <w:szCs w:val="24"/>
        </w:rPr>
        <w:t>%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007" w:hanging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418" w:leader="none"/>
          <w:tab w:val="left" w:pos="7938" w:leader="none"/>
        </w:tabs>
        <w:spacing w:before="0" w:after="0"/>
        <w:jc w:val="center"/>
        <w:rPr/>
      </w:pPr>
      <w:r>
        <w:rPr/>
        <w:drawing>
          <wp:inline distT="0" distB="0" distL="0" distR="0">
            <wp:extent cx="3636645" cy="16573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before="0" w:after="0"/>
        <w:ind w:left="284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Вывод</w:t>
      </w:r>
      <w:r>
        <w:rPr>
          <w:rFonts w:cs="Times New Roman" w:ascii="Times New Roman" w:hAnsi="Times New Roman"/>
          <w:i/>
          <w:sz w:val="24"/>
          <w:szCs w:val="24"/>
        </w:rPr>
        <w:t xml:space="preserve">: на данный вопрос утвердительно ответили </w:t>
      </w:r>
      <w:r>
        <w:rPr>
          <w:rFonts w:cs="Times New Roman" w:ascii="Times New Roman" w:hAnsi="Times New Roman"/>
          <w:i/>
          <w:sz w:val="24"/>
          <w:szCs w:val="24"/>
        </w:rPr>
        <w:t>83,5</w:t>
      </w:r>
      <w:r>
        <w:rPr>
          <w:rFonts w:cs="Times New Roman" w:ascii="Times New Roman" w:hAnsi="Times New Roman"/>
          <w:i/>
          <w:sz w:val="24"/>
          <w:szCs w:val="24"/>
        </w:rPr>
        <w:t>%, что 5 раз больше, чем респонденты , давшие отрицательный ответ.</w:t>
      </w:r>
    </w:p>
    <w:p>
      <w:pPr>
        <w:pStyle w:val="Normal"/>
        <w:spacing w:before="0"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84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Диаграмма №3</w:t>
      </w:r>
      <w:r>
        <w:rPr>
          <w:rFonts w:cs="Times New Roman" w:ascii="Times New Roman" w:hAnsi="Times New Roman"/>
          <w:sz w:val="24"/>
          <w:szCs w:val="24"/>
        </w:rPr>
        <w:t>. Как Вы считаете, вредные привычки способствуют развитию рака?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 –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32</w:t>
      </w:r>
      <w:r>
        <w:rPr>
          <w:rFonts w:cs="Times New Roman" w:ascii="Times New Roman" w:hAnsi="Times New Roman"/>
          <w:sz w:val="24"/>
          <w:szCs w:val="24"/>
        </w:rPr>
        <w:t xml:space="preserve"> респондент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, что составляет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31,1</w:t>
      </w:r>
      <w:r>
        <w:rPr>
          <w:rFonts w:cs="Times New Roman" w:ascii="Times New Roman" w:hAnsi="Times New Roman"/>
          <w:sz w:val="24"/>
          <w:szCs w:val="24"/>
        </w:rPr>
        <w:t>%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Нет –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71</w:t>
      </w:r>
      <w:r>
        <w:rPr>
          <w:rFonts w:cs="Times New Roman" w:ascii="Times New Roman" w:hAnsi="Times New Roman"/>
          <w:sz w:val="24"/>
          <w:szCs w:val="24"/>
        </w:rPr>
        <w:t xml:space="preserve"> респондентов, что составляет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68,9 </w:t>
      </w:r>
      <w:r>
        <w:rPr>
          <w:rFonts w:cs="Times New Roman" w:ascii="Times New Roman" w:hAnsi="Times New Roman"/>
          <w:sz w:val="24"/>
          <w:szCs w:val="24"/>
        </w:rPr>
        <w:t>%</w:t>
      </w:r>
    </w:p>
    <w:p>
      <w:pPr>
        <w:pStyle w:val="NormalWeb"/>
        <w:spacing w:before="0" w:after="0"/>
        <w:jc w:val="center"/>
        <w:rPr/>
      </w:pPr>
      <w:r>
        <w:rPr/>
        <w:drawing>
          <wp:inline distT="0" distB="0" distL="0" distR="0">
            <wp:extent cx="3129280" cy="167703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before="0" w:after="0"/>
        <w:ind w:left="284" w:firstLine="567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Вывод</w:t>
      </w:r>
      <w:r>
        <w:rPr>
          <w:rFonts w:cs="Times New Roman" w:ascii="Times New Roman" w:hAnsi="Times New Roman"/>
          <w:i/>
          <w:sz w:val="24"/>
          <w:szCs w:val="24"/>
        </w:rPr>
        <w:t>: большая часть участников считает, что вредные привычки  способствуют развитию рака.</w:t>
      </w:r>
    </w:p>
    <w:p>
      <w:pPr>
        <w:pStyle w:val="Normal"/>
        <w:spacing w:before="0" w:after="0"/>
        <w:ind w:left="284" w:firstLine="567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       </w:t>
      </w:r>
    </w:p>
    <w:p>
      <w:pPr>
        <w:pStyle w:val="NormalWeb"/>
        <w:spacing w:beforeAutospacing="0" w:before="0" w:afterAutospacing="0" w:after="0"/>
        <w:ind w:left="284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4"/>
          <w:szCs w:val="24"/>
        </w:rPr>
        <w:t>Выводы: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Учитывая актуальность данной проблемы ОГБУЗ  «Центр общественного здоровья и медицинской профилактики  города Старого Оскола » рекомендует обеспечить 4 февраля 2022 года проведение следующих информационно-просветительских мероприятий, приуроченных ко Всемирному Дню борьбы против рака: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широко информировать население о проведении мероприятий по профилактике онкологических заболеваний через СМИ, разместить информацию на Интернет-порталах медицинских организаций и муниципальных образований, а также в социальных сетях;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провести медико – социологические опросы  на  определение уровня осведомленности   населения по вопросам раннего выявления онкологических заболеваний  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провести санитарно-просветительскую работу с населением по профилактике онкологических заболеваний, раннему выявлению рака, а также формированию установок на здоровый образ жизни;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провести тематические совещания, конференции, семинары с врачами и средним медицинским персоналом ЛПУ по вопросам профилактики и ранней диагностики рака;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организовать тематические выставки, оформление в ЛПУ стендов с наглядной агитацией по вопросам профилактики онкологических заболеваний;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распространить в медицинских и образовательных учреждениях памятки, буклеты, листовки по профилактике онкологических заболеваний, по формированию установок на здоровый образ жизни и безопасное поведение.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 ограничений, связанных с угрозой распространения коронавирусной инфекции, вызванной COVID-19, мероприятия рекомендуется проводить в формате информационных кампаний.</w:t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right"/>
        <w:rPr>
          <w:sz w:val="24"/>
          <w:szCs w:val="24"/>
        </w:rPr>
      </w:pPr>
      <w:r>
        <w:rPr/>
      </w:r>
    </w:p>
    <w:p>
      <w:pPr>
        <w:pStyle w:val="NormalWeb"/>
        <w:widowControl/>
        <w:bidi w:val="0"/>
        <w:spacing w:lineRule="auto" w:line="240" w:before="0" w:after="0"/>
        <w:ind w:left="283" w:right="0" w:firstLine="567"/>
        <w:jc w:val="right"/>
        <w:rPr/>
      </w:pPr>
      <w:r>
        <w:rPr>
          <w:sz w:val="24"/>
          <w:szCs w:val="24"/>
        </w:rPr>
        <w:t xml:space="preserve"> </w:t>
      </w:r>
      <w:r>
        <w:rPr>
          <w:rFonts w:cs="Times New Roman"/>
          <w:b/>
          <w:bCs/>
          <w:i/>
          <w:sz w:val="22"/>
          <w:szCs w:val="22"/>
        </w:rPr>
        <w:t>Отдел мониторинга факторов риска</w:t>
      </w:r>
    </w:p>
    <w:p>
      <w:pPr>
        <w:pStyle w:val="Normal"/>
        <w:spacing w:lineRule="auto" w:line="240" w:before="0" w:after="0"/>
        <w:ind w:left="142" w:firstLine="425"/>
        <w:jc w:val="right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sz w:val="22"/>
          <w:szCs w:val="22"/>
        </w:rPr>
        <w:t xml:space="preserve">ОГБУЗ «Центр общественного здоровья и </w:t>
      </w:r>
    </w:p>
    <w:p>
      <w:pPr>
        <w:pStyle w:val="Normal"/>
        <w:spacing w:lineRule="auto" w:line="240" w:before="0" w:after="0"/>
        <w:ind w:left="142" w:firstLine="425"/>
        <w:jc w:val="right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sz w:val="22"/>
          <w:szCs w:val="22"/>
        </w:rPr>
        <w:t>медицинской профилактики города Старого Оскола»</w:t>
      </w:r>
    </w:p>
    <w:p>
      <w:pPr>
        <w:pStyle w:val="Normal"/>
        <w:spacing w:lineRule="auto" w:line="240" w:before="0" w:after="0"/>
        <w:ind w:left="142" w:firstLine="425"/>
        <w:jc w:val="right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sz w:val="22"/>
          <w:szCs w:val="22"/>
        </w:rPr>
        <w:t xml:space="preserve">Заведующий отделом Л.А.Смольникова </w:t>
      </w:r>
    </w:p>
    <w:p>
      <w:pPr>
        <w:pStyle w:val="Normal"/>
        <w:spacing w:lineRule="auto" w:line="240" w:before="0" w:after="0"/>
        <w:ind w:left="142" w:firstLine="425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sz w:val="22"/>
          <w:szCs w:val="22"/>
        </w:rPr>
        <w:t>Медицинский статистик  Н.А. Мартынов</w:t>
      </w:r>
      <w:r>
        <w:rPr>
          <w:rFonts w:cs="Times New Roman" w:ascii="Times New Roman" w:hAnsi="Times New Roman"/>
          <w:b/>
          <w:bCs/>
          <w:i/>
          <w:sz w:val="22"/>
          <w:szCs w:val="22"/>
        </w:rPr>
        <w:t>а</w:t>
      </w:r>
    </w:p>
    <w:p>
      <w:pPr>
        <w:pStyle w:val="Normal"/>
        <w:spacing w:lineRule="auto" w:line="240" w:before="0" w:after="0"/>
        <w:ind w:left="142" w:firstLine="425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e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30e44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30e4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2961ab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30e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30e44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30e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c0504d"/>
              </a:solidFill>
              <a:ln w="0">
                <a:noFill/>
              </a:ln>
            </c:spPr>
          </c:dPt>
          <c:dPt>
            <c:idx val="2"/>
            <c:explosion val="25"/>
            <c:spPr>
              <a:solidFill>
                <a:srgbClr val="9bbb59"/>
              </a:solidFill>
              <a:ln w="0">
                <a:noFill/>
              </a:ln>
            </c:spPr>
          </c:dPt>
          <c:dPt>
            <c:idx val="3"/>
            <c:explosion val="25"/>
            <c:spPr>
              <a:solidFill>
                <a:srgbClr val="8064a2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78.6</c:v>
                </c:pt>
                <c:pt idx="1">
                  <c:v>21.4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25"/>
          <c:dPt>
            <c:idx val="0"/>
            <c:explosion val="25"/>
            <c:spPr>
              <a:solidFill>
                <a:srgbClr val="31859c"/>
              </a:solidFill>
              <a:ln w="0">
                <a:noFill/>
              </a:ln>
            </c:spPr>
          </c:dPt>
          <c:dPt>
            <c:idx val="1"/>
            <c:explosion val="25"/>
            <c:spPr>
              <a:solidFill>
                <a:srgbClr val="e46c0a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1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83.5</c:v>
                </c:pt>
                <c:pt idx="1">
                  <c:v>16.5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30"/>
    </c:view3D>
    <c:floor>
      <c:spPr>
        <a:solidFill>
          <a:srgbClr val="d9d9d9"/>
        </a:solidFill>
        <a:ln w="0">
          <a:noFill/>
        </a:ln>
      </c:spPr>
    </c:floor>
    <c:sideWall>
      <c:spPr>
        <a:solidFill>
          <a:srgbClr val="d9d9d9"/>
        </a:solidFill>
        <a:ln w="0">
          <a:noFill/>
        </a:ln>
      </c:spPr>
    </c:sideWall>
    <c:backWall>
      <c:spPr>
        <a:solidFill>
          <a:srgbClr val="d9d9d9"/>
        </a:solidFill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0864375"/>
          <c:y val="0.0995555555555555"/>
          <c:w val="0.721375"/>
          <c:h val="0.773111111111111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0066"/>
            </a:solidFill>
            <a:ln w="0">
              <a:noFill/>
            </a:ln>
          </c:spPr>
          <c:explosion val="24"/>
          <c:dPt>
            <c:idx val="0"/>
            <c:explosion val="24"/>
            <c:spPr>
              <a:solidFill>
                <a:srgbClr val="92d050"/>
              </a:solidFill>
              <a:ln w="0">
                <a:noFill/>
              </a:ln>
            </c:spPr>
          </c:dPt>
          <c:dPt>
            <c:idx val="1"/>
            <c:explosion val="24"/>
            <c:spPr>
              <a:solidFill>
                <a:srgbClr val="00b0f0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61.1</c:v>
                </c:pt>
                <c:pt idx="1">
                  <c:v>38.9</c:v>
                </c:pt>
              </c:numCache>
            </c:numRef>
          </c:val>
        </c:ser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LibreOffice/7.1.0.3$Windows_X86_64 LibreOffice_project/f6099ecf3d29644b5008cc8f48f42f4a40986e4c</Application>
  <AppVersion>15.0000</AppVersion>
  <Pages>3</Pages>
  <Words>714</Words>
  <Characters>5089</Characters>
  <CharactersWithSpaces>5780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2022-01-11T09:01:00Z</dcterms:created>
  <dc:creator>monit</dc:creator>
  <dc:description/>
  <dc:language>ru-RU</dc:language>
  <cp:lastModifiedBy/>
  <cp:lastPrinted>2022-03-21T13:27:48Z</cp:lastPrinted>
  <dcterms:modified xsi:type="dcterms:W3CDTF">2022-03-21T13:28:49Z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