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DB30" w14:textId="77777777" w:rsidR="000F1029" w:rsidRDefault="00CE68F5" w:rsidP="00CE68F5">
      <w:pPr>
        <w:jc w:val="center"/>
        <w:rPr>
          <w:rFonts w:ascii="Times New Roman" w:hAnsi="Times New Roman"/>
          <w:b/>
          <w:sz w:val="28"/>
          <w:szCs w:val="28"/>
        </w:rPr>
      </w:pPr>
      <w:r w:rsidRPr="00FE6C8E">
        <w:rPr>
          <w:rFonts w:ascii="Times New Roman" w:hAnsi="Times New Roman"/>
          <w:b/>
          <w:sz w:val="28"/>
          <w:szCs w:val="28"/>
        </w:rPr>
        <w:t xml:space="preserve">Анализ и мониторинг данных </w:t>
      </w:r>
      <w:proofErr w:type="spellStart"/>
      <w:r w:rsidRPr="00FE6C8E">
        <w:rPr>
          <w:rFonts w:ascii="Times New Roman" w:hAnsi="Times New Roman"/>
          <w:b/>
          <w:sz w:val="28"/>
          <w:szCs w:val="28"/>
        </w:rPr>
        <w:t>медико</w:t>
      </w:r>
      <w:proofErr w:type="spellEnd"/>
      <w:r w:rsidRPr="00FE6C8E">
        <w:rPr>
          <w:rFonts w:ascii="Times New Roman" w:hAnsi="Times New Roman"/>
          <w:b/>
          <w:sz w:val="28"/>
          <w:szCs w:val="28"/>
        </w:rPr>
        <w:t xml:space="preserve"> – социологического </w:t>
      </w:r>
      <w:r w:rsidR="00B8312B" w:rsidRPr="00FE6C8E">
        <w:rPr>
          <w:rFonts w:ascii="Times New Roman" w:hAnsi="Times New Roman"/>
          <w:b/>
          <w:sz w:val="28"/>
          <w:szCs w:val="28"/>
        </w:rPr>
        <w:t>исследования</w:t>
      </w:r>
      <w:r w:rsidRPr="00FE6C8E">
        <w:rPr>
          <w:rFonts w:ascii="Times New Roman" w:hAnsi="Times New Roman"/>
          <w:b/>
          <w:sz w:val="28"/>
          <w:szCs w:val="28"/>
        </w:rPr>
        <w:t xml:space="preserve"> на определение уровня информированности жителей </w:t>
      </w:r>
    </w:p>
    <w:p w14:paraId="6DA44F30" w14:textId="3AB0D310" w:rsidR="00EB6485" w:rsidRPr="00FE6C8E" w:rsidRDefault="00CE68F5" w:rsidP="00CE68F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E6C8E">
        <w:rPr>
          <w:rFonts w:ascii="Times New Roman" w:hAnsi="Times New Roman"/>
          <w:b/>
          <w:sz w:val="28"/>
          <w:szCs w:val="28"/>
        </w:rPr>
        <w:t>Старооскольского</w:t>
      </w:r>
      <w:proofErr w:type="spellEnd"/>
      <w:r w:rsidRPr="00FE6C8E">
        <w:rPr>
          <w:rFonts w:ascii="Times New Roman" w:hAnsi="Times New Roman"/>
          <w:b/>
          <w:sz w:val="28"/>
          <w:szCs w:val="28"/>
        </w:rPr>
        <w:t xml:space="preserve"> городского округа по вопросу профилактик</w:t>
      </w:r>
      <w:r w:rsidR="00EB6485" w:rsidRPr="00FE6C8E">
        <w:rPr>
          <w:rFonts w:ascii="Times New Roman" w:hAnsi="Times New Roman"/>
          <w:b/>
          <w:sz w:val="28"/>
          <w:szCs w:val="28"/>
        </w:rPr>
        <w:t>и</w:t>
      </w:r>
      <w:r w:rsidRPr="00FE6C8E">
        <w:rPr>
          <w:rFonts w:ascii="Times New Roman" w:hAnsi="Times New Roman"/>
          <w:b/>
          <w:sz w:val="28"/>
          <w:szCs w:val="28"/>
        </w:rPr>
        <w:t xml:space="preserve"> сердечно – сосудистых заболеваний </w:t>
      </w:r>
      <w:r w:rsidR="00EB6485" w:rsidRPr="00FE6C8E">
        <w:rPr>
          <w:rFonts w:ascii="Times New Roman" w:hAnsi="Times New Roman"/>
          <w:b/>
          <w:sz w:val="28"/>
          <w:szCs w:val="28"/>
        </w:rPr>
        <w:t>2023г</w:t>
      </w:r>
    </w:p>
    <w:p w14:paraId="0F2DDC57" w14:textId="3DD8B9AE" w:rsidR="00CE68F5" w:rsidRPr="00FE6C8E" w:rsidRDefault="00CE68F5" w:rsidP="00FE6C8E">
      <w:pPr>
        <w:pStyle w:val="a5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В </w:t>
      </w:r>
      <w:proofErr w:type="spellStart"/>
      <w:r w:rsidRPr="00FE6C8E">
        <w:rPr>
          <w:sz w:val="25"/>
          <w:szCs w:val="25"/>
        </w:rPr>
        <w:t>проспективных</w:t>
      </w:r>
      <w:proofErr w:type="spellEnd"/>
      <w:r w:rsidRPr="00FE6C8E">
        <w:rPr>
          <w:sz w:val="25"/>
          <w:szCs w:val="25"/>
        </w:rPr>
        <w:t xml:space="preserve"> эпидемиологических исследованиях определены </w:t>
      </w:r>
      <w:r w:rsidRPr="00FE6C8E">
        <w:rPr>
          <w:bCs/>
          <w:sz w:val="25"/>
          <w:szCs w:val="25"/>
        </w:rPr>
        <w:t>факторы</w:t>
      </w:r>
      <w:r w:rsidRPr="00FE6C8E">
        <w:rPr>
          <w:sz w:val="25"/>
          <w:szCs w:val="25"/>
        </w:rPr>
        <w:t xml:space="preserve">, которые способствуют развитию и прогрессированию </w:t>
      </w:r>
      <w:r w:rsidR="00FE6C8E" w:rsidRPr="00FE6C8E">
        <w:rPr>
          <w:bCs/>
          <w:sz w:val="25"/>
          <w:szCs w:val="25"/>
        </w:rPr>
        <w:t>сердечно-сосудистых заболеваний.</w:t>
      </w:r>
      <w:r w:rsidRPr="00FE6C8E">
        <w:rPr>
          <w:sz w:val="25"/>
          <w:szCs w:val="25"/>
        </w:rPr>
        <w:t xml:space="preserve"> Это курение, нерациональное питание (недостаточное потребление, овощей/фруктов, избыточное потребление насыщенных жиров и поваренной соли), низкая физическая активность и избыточное потребление алкоголя. Профилактика </w:t>
      </w:r>
      <w:r w:rsidRPr="00FE6C8E">
        <w:rPr>
          <w:b/>
          <w:bCs/>
          <w:sz w:val="25"/>
          <w:szCs w:val="25"/>
        </w:rPr>
        <w:t>сердечно-сосудистых</w:t>
      </w:r>
      <w:r w:rsidRPr="00FE6C8E">
        <w:rPr>
          <w:sz w:val="25"/>
          <w:szCs w:val="25"/>
        </w:rPr>
        <w:t xml:space="preserve"> </w:t>
      </w:r>
      <w:r w:rsidRPr="00FE6C8E">
        <w:rPr>
          <w:b/>
          <w:bCs/>
          <w:sz w:val="25"/>
          <w:szCs w:val="25"/>
        </w:rPr>
        <w:t>заболеваний</w:t>
      </w:r>
      <w:r w:rsidRPr="00FE6C8E">
        <w:rPr>
          <w:sz w:val="25"/>
          <w:szCs w:val="25"/>
        </w:rPr>
        <w:t xml:space="preserve"> (ССЗ) представляет собой комплекс скоординированных мероприятий, направленных на все население или определенные группы населения (индивидуумы) для предупреждения развития и прогрессирования ССЗ или минимизацию бремени ССЗ и связанных с ними потерь трудоспособности.</w:t>
      </w:r>
    </w:p>
    <w:p w14:paraId="6D6AA22F" w14:textId="77777777" w:rsidR="00CE68F5" w:rsidRPr="00FE6C8E" w:rsidRDefault="00CE68F5" w:rsidP="00FE6C8E">
      <w:pPr>
        <w:pStyle w:val="a5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 </w:t>
      </w:r>
      <w:r w:rsidRPr="00FE6C8E">
        <w:rPr>
          <w:rStyle w:val="a3"/>
          <w:sz w:val="25"/>
          <w:szCs w:val="25"/>
        </w:rPr>
        <w:t>Сердечно-сосудистые заболевания (ССЗ)</w:t>
      </w:r>
      <w:r w:rsidRPr="00FE6C8E">
        <w:rPr>
          <w:sz w:val="25"/>
          <w:szCs w:val="25"/>
        </w:rPr>
        <w:t xml:space="preserve"> продолжают оставаться наиболее актуальной проблемой здравоохранения большинства стран мира, в том числе России, несмотря на существенный прогресс последних десятилетий в сфере диагностики и лечения кардиоваскулярной патологии. Экспертами Всемирной Организации здравоохранения (ВОЗ) прогнозируется дальнейший рост сердечно-сосудистой заболеваемости и смертности как в развитых, так и развивающихся странах, обусловленный старением населения и особенностями образа жизни (ОЖ). ССЗ – ведущая причина смерти населения РФ (вклад в общую смертность составляет 57 %). Согласно данным официальной статистики около 40 % людей в России умирают в активном трудоспособном возрасте (25–64года </w:t>
      </w:r>
    </w:p>
    <w:p w14:paraId="2EDCE833" w14:textId="50F74F7A" w:rsidR="00CE68F5" w:rsidRPr="00FE6C8E" w:rsidRDefault="00CE68F5" w:rsidP="00FE6C8E">
      <w:pPr>
        <w:pStyle w:val="a5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>Профилактика признана на сегодняшний день приоритетным элементом медицинской помощи. Развитие ССЗ тесно ассоциировано с особенностями образа жизни</w:t>
      </w:r>
      <w:r w:rsidR="00EB6485" w:rsidRPr="00FE6C8E">
        <w:rPr>
          <w:sz w:val="25"/>
          <w:szCs w:val="25"/>
        </w:rPr>
        <w:t xml:space="preserve"> </w:t>
      </w:r>
      <w:r w:rsidRPr="00FE6C8E">
        <w:rPr>
          <w:sz w:val="25"/>
          <w:szCs w:val="25"/>
        </w:rPr>
        <w:t>и связанных с ним факторами риска развития</w:t>
      </w:r>
      <w:r w:rsidR="000F1029">
        <w:rPr>
          <w:sz w:val="25"/>
          <w:szCs w:val="25"/>
        </w:rPr>
        <w:t xml:space="preserve">, </w:t>
      </w:r>
      <w:r w:rsidRPr="00FE6C8E">
        <w:rPr>
          <w:sz w:val="25"/>
          <w:szCs w:val="25"/>
        </w:rPr>
        <w:t xml:space="preserve">которые взаимодействуя с генетическими особенностями, способны ускорять развитие заболеваний. Основная задача профилактических мероприятий – выявление ФР, оценка степени суммарного кардиоваскулярного риска и его снижение у лиц с повышенным риском и пациентов ССЗ (за счет модификации всех имеющихся ФР), а также оздоровление ОЖ с целью сохранения низкого риска у лиц с низкой </w:t>
      </w:r>
      <w:proofErr w:type="spellStart"/>
      <w:r w:rsidRPr="00FE6C8E">
        <w:rPr>
          <w:sz w:val="25"/>
          <w:szCs w:val="25"/>
        </w:rPr>
        <w:t>вероятностьюр</w:t>
      </w:r>
      <w:proofErr w:type="spellEnd"/>
      <w:r w:rsidRPr="00FE6C8E">
        <w:rPr>
          <w:sz w:val="25"/>
          <w:szCs w:val="25"/>
        </w:rPr>
        <w:t xml:space="preserve"> </w:t>
      </w:r>
      <w:proofErr w:type="spellStart"/>
      <w:r w:rsidRPr="00FE6C8E">
        <w:rPr>
          <w:sz w:val="25"/>
          <w:szCs w:val="25"/>
        </w:rPr>
        <w:t>азвития</w:t>
      </w:r>
      <w:proofErr w:type="spellEnd"/>
      <w:r w:rsidRPr="00FE6C8E">
        <w:rPr>
          <w:sz w:val="25"/>
          <w:szCs w:val="25"/>
        </w:rPr>
        <w:t xml:space="preserve"> заболевания. </w:t>
      </w:r>
    </w:p>
    <w:p w14:paraId="6BC4C192" w14:textId="77777777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К числу сердечно-сосудистых (кардиоваскулярных) заболеваний, тесно связанных и обусловленных атеросклерозом, относятся: </w:t>
      </w:r>
    </w:p>
    <w:p w14:paraId="7642DE18" w14:textId="77777777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●АГ; </w:t>
      </w:r>
    </w:p>
    <w:p w14:paraId="7E4F39D3" w14:textId="77777777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●ИБС и ее осложнения (острый коронарный синдром (ОКС), ИМ); </w:t>
      </w:r>
    </w:p>
    <w:p w14:paraId="406A3E47" w14:textId="77777777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●ЦВБ и их осложнения мозговые </w:t>
      </w:r>
      <w:proofErr w:type="spellStart"/>
      <w:r w:rsidRPr="00FE6C8E">
        <w:rPr>
          <w:sz w:val="25"/>
          <w:szCs w:val="25"/>
        </w:rPr>
        <w:t>инсулты</w:t>
      </w:r>
      <w:proofErr w:type="spellEnd"/>
      <w:r w:rsidRPr="00FE6C8E">
        <w:rPr>
          <w:sz w:val="25"/>
          <w:szCs w:val="25"/>
        </w:rPr>
        <w:t xml:space="preserve"> (МИ); </w:t>
      </w:r>
    </w:p>
    <w:p w14:paraId="46E3EF8D" w14:textId="77777777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●поражения аорты (аневризмы стенки аорты); </w:t>
      </w:r>
    </w:p>
    <w:p w14:paraId="3169D22F" w14:textId="77777777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●поражения периферических артерий; </w:t>
      </w:r>
    </w:p>
    <w:p w14:paraId="43B1265F" w14:textId="77777777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●сердечная недостаточность (СН). </w:t>
      </w:r>
    </w:p>
    <w:p w14:paraId="7E19E76B" w14:textId="77777777" w:rsidR="00CE68F5" w:rsidRPr="00FE6C8E" w:rsidRDefault="00CE68F5" w:rsidP="00FE6C8E">
      <w:pPr>
        <w:pStyle w:val="a5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С практической и экономической точек зрения целесообразно выделить приоритетные группы пациентов, на которых в первую очередь должны концентрироваться усилия. </w:t>
      </w:r>
    </w:p>
    <w:p w14:paraId="629BA7B9" w14:textId="77777777" w:rsidR="000F1029" w:rsidRDefault="000F1029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</w:p>
    <w:p w14:paraId="42CFFD11" w14:textId="3EEE9A21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lastRenderedPageBreak/>
        <w:t xml:space="preserve">Приоритетные группы пациентов для кардиоваскулярной профилактики: </w:t>
      </w:r>
    </w:p>
    <w:p w14:paraId="402C3F21" w14:textId="77777777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1.Пациенты с уже диагностированными ССЗ атеросклеротического генеза. </w:t>
      </w:r>
    </w:p>
    <w:p w14:paraId="7C7EB98A" w14:textId="77777777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2.Пациенты, у которых в настоящее время отсутствуют симптомы ССЗ, но имеется высокий риск </w:t>
      </w:r>
      <w:proofErr w:type="spellStart"/>
      <w:r w:rsidRPr="00FE6C8E">
        <w:rPr>
          <w:sz w:val="25"/>
          <w:szCs w:val="25"/>
        </w:rPr>
        <w:t>ихразвития</w:t>
      </w:r>
      <w:proofErr w:type="spellEnd"/>
      <w:r w:rsidRPr="00FE6C8E">
        <w:rPr>
          <w:sz w:val="25"/>
          <w:szCs w:val="25"/>
        </w:rPr>
        <w:t xml:space="preserve">. Возможные варианты: </w:t>
      </w:r>
    </w:p>
    <w:p w14:paraId="24A0DA32" w14:textId="77777777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>2.</w:t>
      </w:r>
      <w:proofErr w:type="gramStart"/>
      <w:r w:rsidRPr="00FE6C8E">
        <w:rPr>
          <w:sz w:val="25"/>
          <w:szCs w:val="25"/>
        </w:rPr>
        <w:t>1.Имеются</w:t>
      </w:r>
      <w:proofErr w:type="gramEnd"/>
      <w:r w:rsidRPr="00FE6C8E">
        <w:rPr>
          <w:sz w:val="25"/>
          <w:szCs w:val="25"/>
        </w:rPr>
        <w:t xml:space="preserve"> множественные ФР, дающие высокий суммарный кардиоваскулярный риск (риск смерти от сердечно-сосудистых причин в течение 10лет&gt;5 % по шкале SCORE); </w:t>
      </w:r>
    </w:p>
    <w:p w14:paraId="49DF7BC4" w14:textId="77777777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>2.</w:t>
      </w:r>
      <w:proofErr w:type="gramStart"/>
      <w:r w:rsidRPr="00FE6C8E">
        <w:rPr>
          <w:sz w:val="25"/>
          <w:szCs w:val="25"/>
        </w:rPr>
        <w:t>2.СД</w:t>
      </w:r>
      <w:proofErr w:type="gramEnd"/>
      <w:r w:rsidRPr="00FE6C8E">
        <w:rPr>
          <w:sz w:val="25"/>
          <w:szCs w:val="25"/>
        </w:rPr>
        <w:t xml:space="preserve"> II и </w:t>
      </w:r>
      <w:proofErr w:type="spellStart"/>
      <w:r w:rsidRPr="00FE6C8E">
        <w:rPr>
          <w:sz w:val="25"/>
          <w:szCs w:val="25"/>
        </w:rPr>
        <w:t>Iтипа</w:t>
      </w:r>
      <w:proofErr w:type="spellEnd"/>
      <w:r w:rsidRPr="00FE6C8E">
        <w:rPr>
          <w:sz w:val="25"/>
          <w:szCs w:val="25"/>
        </w:rPr>
        <w:t xml:space="preserve"> при наличии </w:t>
      </w:r>
      <w:proofErr w:type="spellStart"/>
      <w:r w:rsidRPr="00FE6C8E">
        <w:rPr>
          <w:sz w:val="25"/>
          <w:szCs w:val="25"/>
        </w:rPr>
        <w:t>микроальбуминурии</w:t>
      </w:r>
      <w:proofErr w:type="spellEnd"/>
      <w:r w:rsidRPr="00FE6C8E">
        <w:rPr>
          <w:sz w:val="25"/>
          <w:szCs w:val="25"/>
        </w:rPr>
        <w:t xml:space="preserve">; </w:t>
      </w:r>
    </w:p>
    <w:p w14:paraId="1D9BF29C" w14:textId="77777777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>2.</w:t>
      </w:r>
      <w:proofErr w:type="gramStart"/>
      <w:r w:rsidRPr="00FE6C8E">
        <w:rPr>
          <w:sz w:val="25"/>
          <w:szCs w:val="25"/>
        </w:rPr>
        <w:t>3.Очень</w:t>
      </w:r>
      <w:proofErr w:type="gramEnd"/>
      <w:r w:rsidRPr="00FE6C8E">
        <w:rPr>
          <w:sz w:val="25"/>
          <w:szCs w:val="25"/>
        </w:rPr>
        <w:t xml:space="preserve"> высокий уровень одного ФР, особенно в сочетании с поражением органов-мишеней; </w:t>
      </w:r>
    </w:p>
    <w:p w14:paraId="02B70D70" w14:textId="2332920B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>2.</w:t>
      </w:r>
      <w:r w:rsidR="00E73319" w:rsidRPr="00FE6C8E">
        <w:rPr>
          <w:sz w:val="25"/>
          <w:szCs w:val="25"/>
        </w:rPr>
        <w:t>4. Хроническая</w:t>
      </w:r>
      <w:r w:rsidRPr="00FE6C8E">
        <w:rPr>
          <w:sz w:val="25"/>
          <w:szCs w:val="25"/>
        </w:rPr>
        <w:t xml:space="preserve"> болезнь почек (ХБП). </w:t>
      </w:r>
    </w:p>
    <w:p w14:paraId="438B2F18" w14:textId="0B2254E2" w:rsidR="00CE68F5" w:rsidRPr="00FE6C8E" w:rsidRDefault="00CE68F5" w:rsidP="00FE6C8E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3.Близкие родственники пациентов с преждевременным развитием атеросклеротических заболеваний (в </w:t>
      </w:r>
      <w:r w:rsidR="009D34C4" w:rsidRPr="00FE6C8E">
        <w:rPr>
          <w:sz w:val="25"/>
          <w:szCs w:val="25"/>
        </w:rPr>
        <w:t>возрасте &lt;</w:t>
      </w:r>
      <w:r w:rsidRPr="00FE6C8E">
        <w:rPr>
          <w:sz w:val="25"/>
          <w:szCs w:val="25"/>
        </w:rPr>
        <w:t xml:space="preserve">45 у мужчин и &lt;55лет у женщин) и лиц с очень высоким риском. </w:t>
      </w:r>
    </w:p>
    <w:p w14:paraId="4D9A8868" w14:textId="52A2E3E2" w:rsidR="00CE68F5" w:rsidRPr="00FE6C8E" w:rsidRDefault="00CE68F5" w:rsidP="00FE6C8E">
      <w:pPr>
        <w:spacing w:before="100" w:beforeAutospacing="1" w:after="100" w:afterAutospacing="1"/>
        <w:ind w:left="284" w:firstLine="567"/>
        <w:jc w:val="both"/>
        <w:rPr>
          <w:rFonts w:ascii="Times New Roman" w:eastAsia="Times New Roman" w:hAnsi="Times New Roman"/>
          <w:sz w:val="25"/>
          <w:szCs w:val="25"/>
        </w:rPr>
      </w:pPr>
      <w:r w:rsidRPr="00FE6C8E">
        <w:rPr>
          <w:rFonts w:ascii="Times New Roman" w:hAnsi="Times New Roman"/>
          <w:sz w:val="25"/>
          <w:szCs w:val="25"/>
        </w:rPr>
        <w:t xml:space="preserve">Социологический опрос - интервью проведен специалистами отдела мониторинга факторов риска ОГБУЗ «Центр общественного здоровья и медицинской профилактики города Старого Оскола» по бланку- опросу «Профилактика сердечно – сосудистых заболеваний» среди разновозрастных групп населения </w:t>
      </w:r>
      <w:proofErr w:type="spellStart"/>
      <w:r w:rsidRPr="00FE6C8E">
        <w:rPr>
          <w:rFonts w:ascii="Times New Roman" w:hAnsi="Times New Roman"/>
          <w:sz w:val="25"/>
          <w:szCs w:val="25"/>
        </w:rPr>
        <w:t>Старооскольского</w:t>
      </w:r>
      <w:proofErr w:type="spellEnd"/>
      <w:r w:rsidRPr="00FE6C8E">
        <w:rPr>
          <w:rFonts w:ascii="Times New Roman" w:hAnsi="Times New Roman"/>
          <w:sz w:val="25"/>
          <w:szCs w:val="25"/>
        </w:rPr>
        <w:t xml:space="preserve"> городского округа по методу « </w:t>
      </w:r>
      <w:r w:rsidRPr="00FE6C8E">
        <w:rPr>
          <w:rFonts w:ascii="Times New Roman" w:hAnsi="Times New Roman"/>
          <w:i/>
          <w:sz w:val="25"/>
          <w:szCs w:val="25"/>
          <w:lang w:val="en-US"/>
        </w:rPr>
        <w:t>face</w:t>
      </w:r>
      <w:r w:rsidRPr="00FE6C8E">
        <w:rPr>
          <w:rFonts w:ascii="Times New Roman" w:hAnsi="Times New Roman"/>
          <w:i/>
          <w:sz w:val="25"/>
          <w:szCs w:val="25"/>
        </w:rPr>
        <w:t>-</w:t>
      </w:r>
      <w:r w:rsidRPr="00FE6C8E">
        <w:rPr>
          <w:rFonts w:ascii="Times New Roman" w:hAnsi="Times New Roman"/>
          <w:i/>
          <w:sz w:val="25"/>
          <w:szCs w:val="25"/>
          <w:lang w:val="en-US"/>
        </w:rPr>
        <w:t>to</w:t>
      </w:r>
      <w:r w:rsidRPr="00FE6C8E">
        <w:rPr>
          <w:rFonts w:ascii="Times New Roman" w:hAnsi="Times New Roman"/>
          <w:i/>
          <w:sz w:val="25"/>
          <w:szCs w:val="25"/>
        </w:rPr>
        <w:t>-</w:t>
      </w:r>
      <w:r w:rsidRPr="00FE6C8E">
        <w:rPr>
          <w:rFonts w:ascii="Times New Roman" w:hAnsi="Times New Roman"/>
          <w:i/>
          <w:sz w:val="25"/>
          <w:szCs w:val="25"/>
          <w:lang w:val="en-US"/>
        </w:rPr>
        <w:t>face</w:t>
      </w:r>
      <w:r w:rsidRPr="00FE6C8E">
        <w:rPr>
          <w:rFonts w:ascii="Times New Roman" w:hAnsi="Times New Roman"/>
          <w:i/>
          <w:sz w:val="25"/>
          <w:szCs w:val="25"/>
        </w:rPr>
        <w:t xml:space="preserve">», </w:t>
      </w:r>
      <w:r w:rsidRPr="00FE6C8E">
        <w:rPr>
          <w:rFonts w:ascii="Times New Roman" w:hAnsi="Times New Roman"/>
          <w:sz w:val="25"/>
          <w:szCs w:val="25"/>
        </w:rPr>
        <w:t xml:space="preserve">в котором приняли участие </w:t>
      </w:r>
      <w:r w:rsidR="00FE6C8E" w:rsidRPr="00FE6C8E">
        <w:rPr>
          <w:rFonts w:ascii="Times New Roman" w:hAnsi="Times New Roman"/>
          <w:b/>
          <w:sz w:val="25"/>
          <w:szCs w:val="25"/>
        </w:rPr>
        <w:t>935</w:t>
      </w:r>
      <w:r w:rsidRPr="00FE6C8E">
        <w:rPr>
          <w:rFonts w:ascii="Times New Roman" w:hAnsi="Times New Roman"/>
          <w:b/>
          <w:sz w:val="25"/>
          <w:szCs w:val="25"/>
        </w:rPr>
        <w:t xml:space="preserve"> респондент.</w:t>
      </w:r>
      <w:r w:rsidRPr="00FE6C8E">
        <w:rPr>
          <w:rFonts w:ascii="Times New Roman" w:hAnsi="Times New Roman"/>
          <w:sz w:val="25"/>
          <w:szCs w:val="25"/>
        </w:rPr>
        <w:t xml:space="preserve"> </w:t>
      </w:r>
    </w:p>
    <w:p w14:paraId="3C6FE2B6" w14:textId="3A5AB342" w:rsidR="00CE68F5" w:rsidRPr="00FE6C8E" w:rsidRDefault="00CE68F5" w:rsidP="00FE6C8E">
      <w:pPr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FE6C8E">
        <w:rPr>
          <w:rFonts w:ascii="Times New Roman" w:hAnsi="Times New Roman"/>
          <w:sz w:val="25"/>
          <w:szCs w:val="25"/>
        </w:rPr>
        <w:t xml:space="preserve"> Результаты данных </w:t>
      </w:r>
      <w:r w:rsidR="001A7F6D" w:rsidRPr="00FE6C8E">
        <w:rPr>
          <w:rFonts w:ascii="Times New Roman" w:hAnsi="Times New Roman"/>
          <w:sz w:val="25"/>
          <w:szCs w:val="25"/>
        </w:rPr>
        <w:t>представлены в</w:t>
      </w:r>
      <w:r w:rsidRPr="00FE6C8E">
        <w:rPr>
          <w:rFonts w:ascii="Times New Roman" w:hAnsi="Times New Roman"/>
          <w:sz w:val="25"/>
          <w:szCs w:val="25"/>
        </w:rPr>
        <w:t xml:space="preserve"> виде диаграммы.</w:t>
      </w:r>
    </w:p>
    <w:p w14:paraId="449BC1AB" w14:textId="4E6F7B97" w:rsidR="00AF2637" w:rsidRPr="00FE6C8E" w:rsidRDefault="00AF2637" w:rsidP="00FE6C8E">
      <w:pPr>
        <w:ind w:left="284" w:firstLine="567"/>
        <w:jc w:val="both"/>
        <w:rPr>
          <w:rFonts w:ascii="Times New Roman" w:hAnsi="Times New Roman"/>
          <w:sz w:val="25"/>
          <w:szCs w:val="25"/>
        </w:rPr>
      </w:pPr>
    </w:p>
    <w:p w14:paraId="53ECBED4" w14:textId="3C61AC6C" w:rsidR="00AF2637" w:rsidRDefault="00AF2637" w:rsidP="00CE68F5">
      <w:pPr>
        <w:ind w:left="284" w:firstLine="567"/>
        <w:jc w:val="both"/>
        <w:rPr>
          <w:rFonts w:ascii="Times New Roman" w:hAnsi="Times New Roman"/>
          <w:sz w:val="25"/>
          <w:szCs w:val="25"/>
        </w:rPr>
      </w:pPr>
    </w:p>
    <w:p w14:paraId="0A208A2C" w14:textId="77777777" w:rsidR="00AF2637" w:rsidRPr="00242E21" w:rsidRDefault="00AF2637" w:rsidP="00CE68F5">
      <w:pPr>
        <w:ind w:left="284" w:firstLine="567"/>
        <w:jc w:val="both"/>
        <w:rPr>
          <w:rFonts w:ascii="Times New Roman" w:hAnsi="Times New Roman"/>
          <w:sz w:val="25"/>
          <w:szCs w:val="25"/>
        </w:rPr>
      </w:pPr>
    </w:p>
    <w:p w14:paraId="2B592D4B" w14:textId="0A5B4A4D" w:rsidR="00CE68F5" w:rsidRDefault="00CE68F5" w:rsidP="00CE68F5">
      <w:pPr>
        <w:jc w:val="center"/>
        <w:rPr>
          <w:rFonts w:ascii="Times New Roman" w:hAnsi="Times New Roman"/>
          <w:b/>
          <w:sz w:val="25"/>
          <w:szCs w:val="25"/>
        </w:rPr>
      </w:pPr>
      <w:r w:rsidRPr="00242E21">
        <w:rPr>
          <w:rFonts w:ascii="Times New Roman" w:hAnsi="Times New Roman"/>
          <w:b/>
          <w:sz w:val="25"/>
          <w:szCs w:val="25"/>
        </w:rPr>
        <w:t>Диаграмма 1 Уровень осведомленности о профилактике сердечно – сосудистых заболеваний в процентном соотношении</w:t>
      </w:r>
    </w:p>
    <w:p w14:paraId="6B3E14BB" w14:textId="77777777" w:rsidR="00FE6C8E" w:rsidRPr="00242E21" w:rsidRDefault="00FE6C8E" w:rsidP="00CE68F5">
      <w:pPr>
        <w:jc w:val="center"/>
        <w:rPr>
          <w:rFonts w:ascii="Times New Roman" w:hAnsi="Times New Roman"/>
          <w:b/>
          <w:sz w:val="25"/>
          <w:szCs w:val="25"/>
        </w:rPr>
      </w:pPr>
    </w:p>
    <w:p w14:paraId="172B7389" w14:textId="77777777" w:rsidR="00CE68F5" w:rsidRPr="004956BD" w:rsidRDefault="00CE68F5" w:rsidP="00CE68F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DCA8A9B" wp14:editId="034AFEE2">
            <wp:extent cx="5090832" cy="2051637"/>
            <wp:effectExtent l="0" t="0" r="1460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8FC07B6" w14:textId="77777777" w:rsidR="00CE68F5" w:rsidRPr="00242E21" w:rsidRDefault="00CE68F5" w:rsidP="00FE6C8E">
      <w:pPr>
        <w:ind w:left="284" w:firstLine="567"/>
        <w:jc w:val="both"/>
        <w:rPr>
          <w:rFonts w:ascii="Times New Roman" w:hAnsi="Times New Roman"/>
          <w:b/>
          <w:i/>
          <w:u w:val="single"/>
        </w:rPr>
      </w:pPr>
      <w:r w:rsidRPr="00242E21">
        <w:rPr>
          <w:rFonts w:ascii="Times New Roman" w:hAnsi="Times New Roman"/>
          <w:b/>
          <w:i/>
          <w:u w:val="single"/>
        </w:rPr>
        <w:t>Анализ результатов:</w:t>
      </w:r>
    </w:p>
    <w:p w14:paraId="77C0D31D" w14:textId="2F7BB30D" w:rsidR="00CE68F5" w:rsidRPr="000B27E0" w:rsidRDefault="00CE68F5" w:rsidP="00FE6C8E">
      <w:pPr>
        <w:pStyle w:val="a4"/>
        <w:numPr>
          <w:ilvl w:val="0"/>
          <w:numId w:val="1"/>
        </w:numPr>
        <w:ind w:left="284" w:firstLine="567"/>
        <w:jc w:val="both"/>
        <w:rPr>
          <w:rFonts w:ascii="Times New Roman" w:hAnsi="Times New Roman"/>
          <w:i/>
        </w:rPr>
      </w:pPr>
      <w:r w:rsidRPr="000B27E0">
        <w:rPr>
          <w:rFonts w:ascii="Times New Roman" w:hAnsi="Times New Roman"/>
          <w:i/>
        </w:rPr>
        <w:t>Как Вы считаете, вредные привычки способствуют развитию сердечно – сосудистых заболеваний? (76,5 % - 7</w:t>
      </w:r>
      <w:r w:rsidR="004D62AB">
        <w:rPr>
          <w:rFonts w:ascii="Times New Roman" w:hAnsi="Times New Roman"/>
          <w:i/>
        </w:rPr>
        <w:t>16</w:t>
      </w:r>
      <w:r w:rsidRPr="000B27E0">
        <w:rPr>
          <w:rFonts w:ascii="Times New Roman" w:hAnsi="Times New Roman"/>
          <w:i/>
        </w:rPr>
        <w:t xml:space="preserve"> респондентов считают вредные привычки причиной развития </w:t>
      </w:r>
      <w:r>
        <w:rPr>
          <w:rFonts w:ascii="Times New Roman" w:hAnsi="Times New Roman"/>
          <w:i/>
        </w:rPr>
        <w:t>сердечно – сосудистых заболеваний</w:t>
      </w:r>
      <w:r w:rsidRPr="000B27E0">
        <w:rPr>
          <w:rFonts w:ascii="Times New Roman" w:hAnsi="Times New Roman"/>
          <w:i/>
        </w:rPr>
        <w:t>)</w:t>
      </w:r>
    </w:p>
    <w:p w14:paraId="3B70056F" w14:textId="33744A71" w:rsidR="00CE68F5" w:rsidRPr="000B27E0" w:rsidRDefault="00CE68F5" w:rsidP="00FE6C8E">
      <w:pPr>
        <w:pStyle w:val="a4"/>
        <w:numPr>
          <w:ilvl w:val="0"/>
          <w:numId w:val="1"/>
        </w:numPr>
        <w:ind w:left="284" w:firstLine="567"/>
        <w:jc w:val="both"/>
        <w:rPr>
          <w:rFonts w:ascii="Times New Roman" w:hAnsi="Times New Roman"/>
          <w:i/>
        </w:rPr>
      </w:pPr>
      <w:r w:rsidRPr="000B27E0">
        <w:rPr>
          <w:rFonts w:ascii="Times New Roman" w:hAnsi="Times New Roman"/>
          <w:i/>
        </w:rPr>
        <w:t>Знаете ли Вы уровень своего холестерина? (50,7%</w:t>
      </w:r>
      <w:r>
        <w:rPr>
          <w:rFonts w:ascii="Times New Roman" w:hAnsi="Times New Roman"/>
          <w:i/>
        </w:rPr>
        <w:t xml:space="preserve"> - </w:t>
      </w:r>
      <w:r w:rsidRPr="000B27E0">
        <w:rPr>
          <w:rFonts w:ascii="Times New Roman" w:hAnsi="Times New Roman"/>
          <w:i/>
        </w:rPr>
        <w:t xml:space="preserve">  4</w:t>
      </w:r>
      <w:r w:rsidR="000F1029">
        <w:rPr>
          <w:rFonts w:ascii="Times New Roman" w:hAnsi="Times New Roman"/>
          <w:i/>
        </w:rPr>
        <w:t xml:space="preserve">74 </w:t>
      </w:r>
      <w:r w:rsidRPr="000B27E0">
        <w:rPr>
          <w:rFonts w:ascii="Times New Roman" w:hAnsi="Times New Roman"/>
          <w:i/>
        </w:rPr>
        <w:t>участник</w:t>
      </w:r>
      <w:r w:rsidR="000F1029">
        <w:rPr>
          <w:rFonts w:ascii="Times New Roman" w:hAnsi="Times New Roman"/>
          <w:i/>
        </w:rPr>
        <w:t>а</w:t>
      </w:r>
      <w:r w:rsidRPr="000B27E0">
        <w:rPr>
          <w:rFonts w:ascii="Times New Roman" w:hAnsi="Times New Roman"/>
          <w:i/>
        </w:rPr>
        <w:t xml:space="preserve"> контролируют уровень </w:t>
      </w:r>
      <w:r>
        <w:rPr>
          <w:rFonts w:ascii="Times New Roman" w:hAnsi="Times New Roman"/>
          <w:i/>
        </w:rPr>
        <w:t xml:space="preserve">своего </w:t>
      </w:r>
      <w:r w:rsidRPr="000B27E0">
        <w:rPr>
          <w:rFonts w:ascii="Times New Roman" w:hAnsi="Times New Roman"/>
          <w:i/>
        </w:rPr>
        <w:t>холестерина крови)</w:t>
      </w:r>
    </w:p>
    <w:p w14:paraId="538D3D94" w14:textId="2468E4BE" w:rsidR="00CE68F5" w:rsidRPr="000B27E0" w:rsidRDefault="00CE68F5" w:rsidP="00FE6C8E">
      <w:pPr>
        <w:pStyle w:val="a4"/>
        <w:numPr>
          <w:ilvl w:val="0"/>
          <w:numId w:val="1"/>
        </w:numPr>
        <w:ind w:left="284" w:firstLine="567"/>
        <w:jc w:val="both"/>
        <w:rPr>
          <w:rFonts w:ascii="Times New Roman" w:hAnsi="Times New Roman"/>
          <w:i/>
        </w:rPr>
      </w:pPr>
      <w:r w:rsidRPr="000B27E0">
        <w:rPr>
          <w:rFonts w:ascii="Times New Roman" w:hAnsi="Times New Roman"/>
          <w:i/>
        </w:rPr>
        <w:t xml:space="preserve">Знаете ли Вы цифры своего </w:t>
      </w:r>
      <w:r>
        <w:rPr>
          <w:rFonts w:ascii="Times New Roman" w:hAnsi="Times New Roman"/>
          <w:i/>
        </w:rPr>
        <w:t xml:space="preserve">артериального </w:t>
      </w:r>
      <w:proofErr w:type="gramStart"/>
      <w:r>
        <w:rPr>
          <w:rFonts w:ascii="Times New Roman" w:hAnsi="Times New Roman"/>
          <w:i/>
        </w:rPr>
        <w:t>давления</w:t>
      </w:r>
      <w:r w:rsidRPr="000B27E0">
        <w:rPr>
          <w:rFonts w:ascii="Times New Roman" w:hAnsi="Times New Roman"/>
          <w:i/>
        </w:rPr>
        <w:t>?(</w:t>
      </w:r>
      <w:proofErr w:type="gramEnd"/>
      <w:r w:rsidRPr="000B27E0">
        <w:rPr>
          <w:rFonts w:ascii="Times New Roman" w:hAnsi="Times New Roman"/>
          <w:i/>
        </w:rPr>
        <w:t xml:space="preserve"> 64,2%- </w:t>
      </w:r>
      <w:r w:rsidR="000F1029">
        <w:rPr>
          <w:rFonts w:ascii="Times New Roman" w:hAnsi="Times New Roman"/>
          <w:i/>
        </w:rPr>
        <w:t>601</w:t>
      </w:r>
      <w:r w:rsidRPr="000B27E0">
        <w:rPr>
          <w:rFonts w:ascii="Times New Roman" w:hAnsi="Times New Roman"/>
          <w:i/>
        </w:rPr>
        <w:t xml:space="preserve"> респондент  зна</w:t>
      </w:r>
      <w:r w:rsidR="000F1029">
        <w:rPr>
          <w:rFonts w:ascii="Times New Roman" w:hAnsi="Times New Roman"/>
          <w:i/>
        </w:rPr>
        <w:t>е</w:t>
      </w:r>
      <w:r w:rsidRPr="000B27E0">
        <w:rPr>
          <w:rFonts w:ascii="Times New Roman" w:hAnsi="Times New Roman"/>
          <w:i/>
        </w:rPr>
        <w:t>т цифры своего АД</w:t>
      </w:r>
      <w:r>
        <w:rPr>
          <w:rFonts w:ascii="Times New Roman" w:hAnsi="Times New Roman"/>
          <w:i/>
        </w:rPr>
        <w:t xml:space="preserve"> </w:t>
      </w:r>
      <w:r w:rsidRPr="000B27E0">
        <w:rPr>
          <w:rFonts w:ascii="Times New Roman" w:hAnsi="Times New Roman"/>
          <w:i/>
        </w:rPr>
        <w:t xml:space="preserve">) </w:t>
      </w:r>
    </w:p>
    <w:p w14:paraId="77ACDA13" w14:textId="77777777" w:rsidR="00FE6C8E" w:rsidRDefault="00FE6C8E" w:rsidP="00CE68F5">
      <w:pPr>
        <w:pStyle w:val="a5"/>
        <w:rPr>
          <w:b/>
          <w:color w:val="000000"/>
          <w:sz w:val="25"/>
          <w:szCs w:val="25"/>
        </w:rPr>
      </w:pPr>
    </w:p>
    <w:p w14:paraId="48141EE5" w14:textId="4D274C74" w:rsidR="00EB6485" w:rsidRDefault="00EB6485" w:rsidP="000F1029">
      <w:pPr>
        <w:pStyle w:val="a5"/>
        <w:spacing w:before="0" w:beforeAutospacing="0" w:after="0" w:afterAutospacing="0"/>
        <w:ind w:left="284" w:firstLine="567"/>
        <w:rPr>
          <w:b/>
          <w:color w:val="000000"/>
          <w:sz w:val="25"/>
          <w:szCs w:val="25"/>
        </w:rPr>
      </w:pPr>
      <w:r w:rsidRPr="00242E21">
        <w:rPr>
          <w:b/>
          <w:color w:val="000000"/>
          <w:sz w:val="25"/>
          <w:szCs w:val="25"/>
        </w:rPr>
        <w:lastRenderedPageBreak/>
        <w:t>Вывод</w:t>
      </w:r>
      <w:r>
        <w:rPr>
          <w:b/>
          <w:color w:val="000000"/>
          <w:sz w:val="25"/>
          <w:szCs w:val="25"/>
        </w:rPr>
        <w:t>:</w:t>
      </w:r>
    </w:p>
    <w:p w14:paraId="6C8030D4" w14:textId="419484ED" w:rsidR="00CE68F5" w:rsidRPr="00FE6C8E" w:rsidRDefault="00EB6485" w:rsidP="000F1029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5203AD">
        <w:rPr>
          <w:color w:val="000000"/>
          <w:sz w:val="25"/>
          <w:szCs w:val="25"/>
        </w:rPr>
        <w:t xml:space="preserve"> </w:t>
      </w:r>
      <w:r w:rsidR="005203AD" w:rsidRPr="00FE6C8E">
        <w:rPr>
          <w:color w:val="000000"/>
          <w:sz w:val="25"/>
          <w:szCs w:val="25"/>
        </w:rPr>
        <w:t xml:space="preserve">подводя итог </w:t>
      </w:r>
      <w:proofErr w:type="gramStart"/>
      <w:r w:rsidR="005203AD" w:rsidRPr="00FE6C8E">
        <w:rPr>
          <w:color w:val="000000"/>
          <w:sz w:val="25"/>
          <w:szCs w:val="25"/>
        </w:rPr>
        <w:t>результатам ,</w:t>
      </w:r>
      <w:proofErr w:type="gramEnd"/>
      <w:r w:rsidR="005203AD" w:rsidRPr="00FE6C8E">
        <w:rPr>
          <w:color w:val="000000"/>
          <w:sz w:val="25"/>
          <w:szCs w:val="25"/>
        </w:rPr>
        <w:t xml:space="preserve"> проведенного </w:t>
      </w:r>
      <w:proofErr w:type="spellStart"/>
      <w:r w:rsidR="005203AD" w:rsidRPr="00FE6C8E">
        <w:rPr>
          <w:color w:val="000000"/>
          <w:sz w:val="25"/>
          <w:szCs w:val="25"/>
        </w:rPr>
        <w:t>медико</w:t>
      </w:r>
      <w:proofErr w:type="spellEnd"/>
      <w:r w:rsidR="005203AD" w:rsidRPr="00FE6C8E">
        <w:rPr>
          <w:color w:val="000000"/>
          <w:sz w:val="25"/>
          <w:szCs w:val="25"/>
        </w:rPr>
        <w:t xml:space="preserve"> – социологического исследования , необходимо отметить, что </w:t>
      </w:r>
      <w:r w:rsidR="00CE68F5" w:rsidRPr="00FE6C8E">
        <w:rPr>
          <w:sz w:val="25"/>
          <w:szCs w:val="25"/>
        </w:rPr>
        <w:t>контроль поведенческих ФР должен начинаться как можно раньше (с детского и подросткового возраста) и должен продолжаться в последующем, особенно у группы лиц высокого риска развития ССЗ и пациентов с ССЗ. В этой связи важнейшая роль в выявлении и контроле за поведенческими ФР принадлежит врачам, работающим в системе первичной медико-санитарной помощи – участковым врачам, врачам общей практики, семейным врачам, врачам центров здоровья. Исследования свидетельствуют, что пациенты считают врачей надежным источником информации о своем здоровье и хотят получить от них квалифицированную помощь в отказе от вредных привычек и стереотипов поведения. При выявлении ССЗ в обязательном порядке необходимо обратиться к своему участковому терапевту или семейному врачу. ССЗ — ведущая причина смертности населения России. Эти заболевания можно предотвратить, выполняя рекомендации своего врача по лечению, изменив стиль жизни и соблюдая простые правила.</w:t>
      </w:r>
    </w:p>
    <w:p w14:paraId="0CDE1B99" w14:textId="77777777" w:rsidR="00CE68F5" w:rsidRPr="00FE6C8E" w:rsidRDefault="00CE68F5" w:rsidP="00FE6C8E">
      <w:pPr>
        <w:pStyle w:val="a5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>1.Обязательно нужно прекратить курение.</w:t>
      </w:r>
    </w:p>
    <w:p w14:paraId="3FD56352" w14:textId="77777777" w:rsidR="00CE68F5" w:rsidRPr="00FE6C8E" w:rsidRDefault="00CE68F5" w:rsidP="00FE6C8E">
      <w:pPr>
        <w:pStyle w:val="a5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>2.Следует ограничить потребление поваренной соли до 6 г. в сутки. Не держите солонку на столе, старайтесь готовить пищу без соли, ешьте свежие овощи и фрукты, откажитесь от консервированных или имеющих солёный вкус продуктов.</w:t>
      </w:r>
    </w:p>
    <w:p w14:paraId="7850171A" w14:textId="77777777" w:rsidR="00CE68F5" w:rsidRPr="00FE6C8E" w:rsidRDefault="00CE68F5" w:rsidP="00FE6C8E">
      <w:pPr>
        <w:pStyle w:val="a5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3.Нормализуйте массу тела. Каждый лишний килограмм сопровождается повышением АД на 2 мм рт. ст. Важно нормализовать массу тела, о чём судят по величине индекса массы тела, который должен составлять менее 25. Индекс массы тела определяют по формуле: масса тела (кг), разделённая на рост, выраженный в метрах и возведённый в квадрат (м </w:t>
      </w:r>
      <w:proofErr w:type="gramStart"/>
      <w:r w:rsidRPr="00FE6C8E">
        <w:rPr>
          <w:sz w:val="25"/>
          <w:szCs w:val="25"/>
        </w:rPr>
        <w:t>2 )</w:t>
      </w:r>
      <w:proofErr w:type="gramEnd"/>
      <w:r w:rsidRPr="00FE6C8E">
        <w:rPr>
          <w:sz w:val="25"/>
          <w:szCs w:val="25"/>
        </w:rPr>
        <w:t>.</w:t>
      </w:r>
    </w:p>
    <w:p w14:paraId="33934A3D" w14:textId="77777777" w:rsidR="00CE68F5" w:rsidRPr="00FE6C8E" w:rsidRDefault="00CE68F5" w:rsidP="00FE6C8E">
      <w:pPr>
        <w:pStyle w:val="a5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>3.Уменьшите потребление жирных и сладких продуктов (печенье, конфеты, шоколад, мороженое). Калорийность суточного рациона должна соответствовать энергетическим затратам организма. Средняя потребность женщин в энергии составляет 1500—1800 ккал в сутки, мужчин — 1800-2100 ккал в сутки. Продукты следует готовить на пару, отваривать или запекать. При приготовлении пищи нужно использовать растительные жиры (оливковое, подсолнечное, кукурузное масло).</w:t>
      </w:r>
    </w:p>
    <w:p w14:paraId="3493E180" w14:textId="77777777" w:rsidR="00CE68F5" w:rsidRPr="00FE6C8E" w:rsidRDefault="00CE68F5" w:rsidP="00FE6C8E">
      <w:pPr>
        <w:pStyle w:val="a5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>4.Ежедневно выполняйте физические нагрузки, по меньшей мере по 30 мин. Необходимо регулярно выполнять физические упражнения. Уровень физической нагрузки Вам определит врач.</w:t>
      </w:r>
    </w:p>
    <w:p w14:paraId="283EAF16" w14:textId="77777777" w:rsidR="00CE68F5" w:rsidRPr="00FE6C8E" w:rsidRDefault="00CE68F5" w:rsidP="00FE6C8E">
      <w:pPr>
        <w:pStyle w:val="a5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5.Необходимо контролировать уровень АД. Добейтесь, чтобы АД было нормальным — менее 140/90 мм </w:t>
      </w:r>
      <w:proofErr w:type="spellStart"/>
      <w:r w:rsidRPr="00FE6C8E">
        <w:rPr>
          <w:sz w:val="25"/>
          <w:szCs w:val="25"/>
        </w:rPr>
        <w:t>рт.ст</w:t>
      </w:r>
      <w:proofErr w:type="spellEnd"/>
      <w:r w:rsidRPr="00FE6C8E">
        <w:rPr>
          <w:sz w:val="25"/>
          <w:szCs w:val="25"/>
        </w:rPr>
        <w:t>.</w:t>
      </w:r>
    </w:p>
    <w:p w14:paraId="07CFB2B1" w14:textId="77777777" w:rsidR="00CE68F5" w:rsidRPr="00FE6C8E" w:rsidRDefault="00CE68F5" w:rsidP="00FE6C8E">
      <w:pPr>
        <w:pStyle w:val="a5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 xml:space="preserve">6.Обязательно нужно ограничить употребление алкоголя или отказаться от его приёма. Безопасная для </w:t>
      </w:r>
      <w:proofErr w:type="spellStart"/>
      <w:r w:rsidRPr="00FE6C8E">
        <w:rPr>
          <w:sz w:val="25"/>
          <w:szCs w:val="25"/>
        </w:rPr>
        <w:t>сердечнососудистой</w:t>
      </w:r>
      <w:proofErr w:type="spellEnd"/>
      <w:r w:rsidRPr="00FE6C8E">
        <w:rPr>
          <w:sz w:val="25"/>
          <w:szCs w:val="25"/>
        </w:rPr>
        <w:t xml:space="preserve"> системы доза алкоголя в перерасчёте на чистый этиловый спирт составляет менее 30 г. для мужчин за сутки (50—60 мл водки, 200—250 мл сухого вина или 500-600 мл пива) и 15 г для женщин (25—30 мл водки, 100—125 мл сухого вина или 250—300 мл пива).</w:t>
      </w:r>
    </w:p>
    <w:p w14:paraId="4606DFA8" w14:textId="77777777" w:rsidR="00CE68F5" w:rsidRPr="00FE6C8E" w:rsidRDefault="00CE68F5" w:rsidP="00FE6C8E">
      <w:pPr>
        <w:pStyle w:val="a5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lastRenderedPageBreak/>
        <w:t>7.Периодически проверяйте уровень холестерина (липидов) крови. Желательная концентрация общего холестерина — менее 200 мг/</w:t>
      </w:r>
      <w:proofErr w:type="spellStart"/>
      <w:r w:rsidRPr="00FE6C8E">
        <w:rPr>
          <w:sz w:val="25"/>
          <w:szCs w:val="25"/>
        </w:rPr>
        <w:t>дл</w:t>
      </w:r>
      <w:proofErr w:type="spellEnd"/>
      <w:r w:rsidRPr="00FE6C8E">
        <w:rPr>
          <w:sz w:val="25"/>
          <w:szCs w:val="25"/>
        </w:rPr>
        <w:t xml:space="preserve"> (5 </w:t>
      </w:r>
      <w:proofErr w:type="spellStart"/>
      <w:r w:rsidRPr="00FE6C8E">
        <w:rPr>
          <w:sz w:val="25"/>
          <w:szCs w:val="25"/>
        </w:rPr>
        <w:t>ммоль</w:t>
      </w:r>
      <w:proofErr w:type="spellEnd"/>
      <w:r w:rsidRPr="00FE6C8E">
        <w:rPr>
          <w:sz w:val="25"/>
          <w:szCs w:val="25"/>
        </w:rPr>
        <w:t>/л).</w:t>
      </w:r>
    </w:p>
    <w:p w14:paraId="10BF0215" w14:textId="77777777" w:rsidR="00CE68F5" w:rsidRPr="00FE6C8E" w:rsidRDefault="00CE68F5" w:rsidP="00FE6C8E">
      <w:pPr>
        <w:pStyle w:val="a5"/>
        <w:ind w:left="284" w:firstLine="567"/>
        <w:jc w:val="both"/>
        <w:rPr>
          <w:sz w:val="25"/>
          <w:szCs w:val="25"/>
        </w:rPr>
      </w:pPr>
      <w:r w:rsidRPr="00FE6C8E">
        <w:rPr>
          <w:sz w:val="25"/>
          <w:szCs w:val="25"/>
        </w:rPr>
        <w:t>8.Периодически проверяйте уровень глюкозы крови (сахар крови). Уровень глюкозы натощак утром должен быть менее 100 мг/</w:t>
      </w:r>
      <w:proofErr w:type="spellStart"/>
      <w:r w:rsidRPr="00FE6C8E">
        <w:rPr>
          <w:sz w:val="25"/>
          <w:szCs w:val="25"/>
        </w:rPr>
        <w:t>дл</w:t>
      </w:r>
      <w:proofErr w:type="spellEnd"/>
      <w:r w:rsidRPr="00FE6C8E">
        <w:rPr>
          <w:sz w:val="25"/>
          <w:szCs w:val="25"/>
        </w:rPr>
        <w:t xml:space="preserve"> (5,5 </w:t>
      </w:r>
      <w:proofErr w:type="spellStart"/>
      <w:r w:rsidRPr="00FE6C8E">
        <w:rPr>
          <w:sz w:val="25"/>
          <w:szCs w:val="25"/>
        </w:rPr>
        <w:t>ммоль</w:t>
      </w:r>
      <w:proofErr w:type="spellEnd"/>
      <w:r w:rsidRPr="00FE6C8E">
        <w:rPr>
          <w:sz w:val="25"/>
          <w:szCs w:val="25"/>
        </w:rPr>
        <w:t>/л).</w:t>
      </w:r>
    </w:p>
    <w:p w14:paraId="0ABF8F23" w14:textId="2467DEB5" w:rsidR="00CE68F5" w:rsidRPr="00FE6C8E" w:rsidRDefault="00CE68F5" w:rsidP="00FE6C8E">
      <w:pPr>
        <w:pStyle w:val="a5"/>
        <w:ind w:left="284" w:firstLine="567"/>
        <w:jc w:val="both"/>
        <w:rPr>
          <w:b/>
          <w:color w:val="000000"/>
          <w:sz w:val="25"/>
          <w:szCs w:val="25"/>
        </w:rPr>
      </w:pPr>
      <w:r w:rsidRPr="00FE6C8E">
        <w:rPr>
          <w:sz w:val="25"/>
          <w:szCs w:val="25"/>
        </w:rPr>
        <w:t xml:space="preserve"> Изменить сложившиеся годами стереотипы поведения пациента – сложная задача. Участникам </w:t>
      </w:r>
      <w:proofErr w:type="spellStart"/>
      <w:r w:rsidRPr="00FE6C8E">
        <w:rPr>
          <w:sz w:val="25"/>
          <w:szCs w:val="25"/>
        </w:rPr>
        <w:t>медико</w:t>
      </w:r>
      <w:proofErr w:type="spellEnd"/>
      <w:r w:rsidRPr="00FE6C8E">
        <w:rPr>
          <w:sz w:val="25"/>
          <w:szCs w:val="25"/>
        </w:rPr>
        <w:t xml:space="preserve"> – социологического исследования даны подробные рекомендации по профилактике сердечно – сосудистых заболеваний. Всем респондентам данной репрезентативной выборки рекомендовано пройти  комплексное – скрининговое обследование в Центре Здоровья ОГБУЗ «Центр общественного здоровья и медицинской профилактики города Старого Оскола» и посетить курс занятий  в Школах здоровья: «Профилактика артериальной гипертензии», «Профилактика гиподинамии», «Рациональное питание», «Управление стрессом», «Профилактика табачной зависимости».</w:t>
      </w:r>
    </w:p>
    <w:p w14:paraId="71E2EB55" w14:textId="77777777" w:rsidR="00CE68F5" w:rsidRPr="00FE6C8E" w:rsidRDefault="00CE68F5" w:rsidP="00FE6C8E">
      <w:pPr>
        <w:tabs>
          <w:tab w:val="left" w:pos="1440"/>
        </w:tabs>
        <w:ind w:left="284" w:firstLine="567"/>
        <w:jc w:val="both"/>
        <w:rPr>
          <w:rFonts w:ascii="Times New Roman" w:hAnsi="Times New Roman"/>
          <w:i/>
          <w:sz w:val="25"/>
          <w:szCs w:val="25"/>
        </w:rPr>
      </w:pPr>
      <w:r w:rsidRPr="00FE6C8E">
        <w:rPr>
          <w:rFonts w:ascii="Times New Roman" w:eastAsia="Times New Roman" w:hAnsi="Times New Roman"/>
          <w:sz w:val="25"/>
          <w:szCs w:val="25"/>
        </w:rPr>
        <w:t xml:space="preserve"> </w:t>
      </w:r>
    </w:p>
    <w:p w14:paraId="296B0FDF" w14:textId="77777777" w:rsidR="00CE68F5" w:rsidRPr="00FE6C8E" w:rsidRDefault="00CE68F5" w:rsidP="00FE6C8E">
      <w:pPr>
        <w:tabs>
          <w:tab w:val="left" w:pos="1440"/>
        </w:tabs>
        <w:ind w:left="284" w:firstLine="567"/>
        <w:jc w:val="both"/>
        <w:rPr>
          <w:rFonts w:ascii="Times New Roman" w:hAnsi="Times New Roman"/>
          <w:i/>
          <w:sz w:val="25"/>
          <w:szCs w:val="25"/>
        </w:rPr>
      </w:pPr>
    </w:p>
    <w:p w14:paraId="0B4C9862" w14:textId="77777777" w:rsidR="00CE68F5" w:rsidRPr="00FE6C8E" w:rsidRDefault="00CE68F5" w:rsidP="00FE6C8E">
      <w:pPr>
        <w:tabs>
          <w:tab w:val="left" w:pos="1440"/>
        </w:tabs>
        <w:ind w:left="284" w:firstLine="567"/>
        <w:jc w:val="both"/>
        <w:rPr>
          <w:rFonts w:ascii="Times New Roman" w:hAnsi="Times New Roman"/>
          <w:i/>
          <w:sz w:val="25"/>
          <w:szCs w:val="25"/>
        </w:rPr>
      </w:pPr>
    </w:p>
    <w:p w14:paraId="147EAE30" w14:textId="77777777" w:rsidR="00CE68F5" w:rsidRPr="00FE6C8E" w:rsidRDefault="00CE68F5" w:rsidP="00FE6C8E">
      <w:pPr>
        <w:tabs>
          <w:tab w:val="left" w:pos="1440"/>
        </w:tabs>
        <w:ind w:left="284" w:firstLine="567"/>
        <w:jc w:val="both"/>
        <w:rPr>
          <w:rFonts w:ascii="Times New Roman" w:hAnsi="Times New Roman"/>
          <w:i/>
          <w:sz w:val="25"/>
          <w:szCs w:val="25"/>
        </w:rPr>
      </w:pPr>
    </w:p>
    <w:p w14:paraId="5AED1EF5" w14:textId="77777777" w:rsidR="00CE68F5" w:rsidRPr="00FE6C8E" w:rsidRDefault="00CE68F5" w:rsidP="00FE6C8E">
      <w:pPr>
        <w:tabs>
          <w:tab w:val="left" w:pos="1440"/>
        </w:tabs>
        <w:ind w:left="284" w:firstLine="567"/>
        <w:jc w:val="both"/>
        <w:rPr>
          <w:rFonts w:ascii="Times New Roman" w:hAnsi="Times New Roman"/>
          <w:i/>
          <w:sz w:val="25"/>
          <w:szCs w:val="25"/>
        </w:rPr>
      </w:pPr>
    </w:p>
    <w:p w14:paraId="55C98DB2" w14:textId="77777777" w:rsidR="00CE68F5" w:rsidRPr="00FE6C8E" w:rsidRDefault="00CE68F5" w:rsidP="00FE6C8E">
      <w:pPr>
        <w:tabs>
          <w:tab w:val="left" w:pos="1440"/>
        </w:tabs>
        <w:ind w:left="284" w:firstLine="567"/>
        <w:jc w:val="both"/>
        <w:rPr>
          <w:rFonts w:ascii="Times New Roman" w:hAnsi="Times New Roman"/>
          <w:i/>
          <w:sz w:val="25"/>
          <w:szCs w:val="25"/>
        </w:rPr>
      </w:pPr>
    </w:p>
    <w:p w14:paraId="304DC6B3" w14:textId="77777777" w:rsidR="00CE68F5" w:rsidRPr="00FE6C8E" w:rsidRDefault="00CE68F5" w:rsidP="00FE6C8E">
      <w:pPr>
        <w:tabs>
          <w:tab w:val="left" w:pos="1440"/>
        </w:tabs>
        <w:ind w:left="284" w:firstLine="567"/>
        <w:jc w:val="both"/>
        <w:rPr>
          <w:rFonts w:ascii="Times New Roman" w:hAnsi="Times New Roman"/>
          <w:i/>
          <w:sz w:val="25"/>
          <w:szCs w:val="25"/>
        </w:rPr>
      </w:pPr>
    </w:p>
    <w:p w14:paraId="32CC7D1F" w14:textId="77777777" w:rsidR="00CE68F5" w:rsidRPr="00FE6C8E" w:rsidRDefault="00CE68F5" w:rsidP="00FE6C8E">
      <w:pPr>
        <w:tabs>
          <w:tab w:val="left" w:pos="1440"/>
        </w:tabs>
        <w:ind w:left="284" w:firstLine="567"/>
        <w:jc w:val="both"/>
        <w:rPr>
          <w:rFonts w:ascii="Times New Roman" w:hAnsi="Times New Roman"/>
          <w:i/>
          <w:sz w:val="25"/>
          <w:szCs w:val="25"/>
        </w:rPr>
      </w:pPr>
    </w:p>
    <w:p w14:paraId="3BCFB7B2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2BEB4D91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3EAE3939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799104B4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679FE441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551BBEF4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615E760B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54AFBD14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0D69EAFF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  <w:bookmarkStart w:id="0" w:name="_GoBack"/>
      <w:bookmarkEnd w:id="0"/>
    </w:p>
    <w:p w14:paraId="5B70639E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098DC43A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039728FB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33CA8C6E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742C15CB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55CBFC7E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284B650F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5"/>
          <w:szCs w:val="25"/>
        </w:rPr>
      </w:pPr>
    </w:p>
    <w:p w14:paraId="18F36D08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2"/>
          <w:szCs w:val="22"/>
        </w:rPr>
      </w:pPr>
    </w:p>
    <w:p w14:paraId="21613EB7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2"/>
          <w:szCs w:val="22"/>
        </w:rPr>
      </w:pPr>
    </w:p>
    <w:p w14:paraId="319DC13C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2"/>
          <w:szCs w:val="22"/>
        </w:rPr>
      </w:pPr>
    </w:p>
    <w:p w14:paraId="198917B6" w14:textId="77777777" w:rsidR="000F1029" w:rsidRDefault="000F1029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2"/>
          <w:szCs w:val="22"/>
        </w:rPr>
      </w:pPr>
    </w:p>
    <w:p w14:paraId="69E8DBA9" w14:textId="0C0AE893" w:rsidR="00CE68F5" w:rsidRPr="000F1029" w:rsidRDefault="00CE68F5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i/>
          <w:sz w:val="22"/>
          <w:szCs w:val="22"/>
        </w:rPr>
      </w:pPr>
      <w:r w:rsidRPr="000F1029">
        <w:rPr>
          <w:rFonts w:ascii="Times New Roman" w:hAnsi="Times New Roman"/>
          <w:i/>
          <w:sz w:val="22"/>
          <w:szCs w:val="22"/>
        </w:rPr>
        <w:t>ОГБУЗ «Центр общественного здоровья и медицинской профилактики</w:t>
      </w:r>
    </w:p>
    <w:p w14:paraId="253FD496" w14:textId="77777777" w:rsidR="00CE68F5" w:rsidRPr="000F1029" w:rsidRDefault="00CE68F5" w:rsidP="00FE6C8E">
      <w:pPr>
        <w:tabs>
          <w:tab w:val="left" w:pos="1440"/>
        </w:tabs>
        <w:ind w:left="284" w:firstLine="567"/>
        <w:jc w:val="right"/>
        <w:rPr>
          <w:rFonts w:ascii="Times New Roman" w:hAnsi="Times New Roman"/>
          <w:sz w:val="22"/>
          <w:szCs w:val="22"/>
        </w:rPr>
      </w:pPr>
      <w:r w:rsidRPr="000F1029">
        <w:rPr>
          <w:rFonts w:ascii="Times New Roman" w:hAnsi="Times New Roman"/>
          <w:i/>
          <w:sz w:val="22"/>
          <w:szCs w:val="22"/>
        </w:rPr>
        <w:t>города Старого Оскола»</w:t>
      </w:r>
    </w:p>
    <w:p w14:paraId="1CCB5171" w14:textId="22314FE2" w:rsidR="00CE68F5" w:rsidRPr="000F1029" w:rsidRDefault="00CE68F5" w:rsidP="00FE6C8E">
      <w:pPr>
        <w:ind w:left="284" w:firstLine="567"/>
        <w:jc w:val="right"/>
        <w:rPr>
          <w:rFonts w:ascii="Times New Roman" w:hAnsi="Times New Roman"/>
          <w:i/>
          <w:sz w:val="22"/>
          <w:szCs w:val="22"/>
        </w:rPr>
      </w:pPr>
      <w:r w:rsidRPr="000F1029">
        <w:rPr>
          <w:rFonts w:ascii="Times New Roman" w:hAnsi="Times New Roman"/>
          <w:i/>
          <w:sz w:val="22"/>
          <w:szCs w:val="22"/>
        </w:rPr>
        <w:t xml:space="preserve">                                           Зав</w:t>
      </w:r>
      <w:r w:rsidR="000F1029">
        <w:rPr>
          <w:rFonts w:ascii="Times New Roman" w:hAnsi="Times New Roman"/>
          <w:i/>
          <w:sz w:val="22"/>
          <w:szCs w:val="22"/>
        </w:rPr>
        <w:t>.</w:t>
      </w:r>
      <w:r w:rsidRPr="000F1029">
        <w:rPr>
          <w:rFonts w:ascii="Times New Roman" w:hAnsi="Times New Roman"/>
          <w:i/>
          <w:sz w:val="22"/>
          <w:szCs w:val="22"/>
        </w:rPr>
        <w:t xml:space="preserve"> отделом мониторинга факторов риска </w:t>
      </w:r>
      <w:proofErr w:type="spellStart"/>
      <w:r w:rsidRPr="000F1029">
        <w:rPr>
          <w:rFonts w:ascii="Times New Roman" w:hAnsi="Times New Roman"/>
          <w:i/>
          <w:sz w:val="22"/>
          <w:szCs w:val="22"/>
        </w:rPr>
        <w:t>Л.А.Смольникова</w:t>
      </w:r>
      <w:proofErr w:type="spellEnd"/>
    </w:p>
    <w:p w14:paraId="3F001273" w14:textId="77777777" w:rsidR="00CE68F5" w:rsidRPr="000F1029" w:rsidRDefault="00CE68F5" w:rsidP="00FE6C8E">
      <w:pPr>
        <w:ind w:left="284" w:firstLine="567"/>
        <w:jc w:val="right"/>
        <w:rPr>
          <w:sz w:val="22"/>
          <w:szCs w:val="22"/>
        </w:rPr>
      </w:pPr>
      <w:r w:rsidRPr="000F1029">
        <w:rPr>
          <w:rFonts w:ascii="Times New Roman" w:hAnsi="Times New Roman"/>
          <w:i/>
          <w:sz w:val="22"/>
          <w:szCs w:val="22"/>
        </w:rPr>
        <w:t>Мед. статистик отдела мониторинга факторов риска Н.А Мартынова</w:t>
      </w:r>
    </w:p>
    <w:p w14:paraId="00D09AAD" w14:textId="77777777" w:rsidR="00CE68F5" w:rsidRPr="00FE6C8E" w:rsidRDefault="00CE68F5" w:rsidP="00FE6C8E">
      <w:pPr>
        <w:ind w:left="284" w:firstLine="567"/>
        <w:jc w:val="right"/>
        <w:rPr>
          <w:sz w:val="25"/>
          <w:szCs w:val="25"/>
        </w:rPr>
      </w:pPr>
    </w:p>
    <w:p w14:paraId="5C896471" w14:textId="77777777" w:rsidR="00463397" w:rsidRPr="00FE6C8E" w:rsidRDefault="00463397" w:rsidP="00FE6C8E">
      <w:pPr>
        <w:ind w:left="284" w:firstLine="567"/>
        <w:jc w:val="right"/>
        <w:rPr>
          <w:sz w:val="25"/>
          <w:szCs w:val="25"/>
        </w:rPr>
      </w:pPr>
    </w:p>
    <w:sectPr w:rsidR="00463397" w:rsidRPr="00FE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724A"/>
    <w:multiLevelType w:val="hybridMultilevel"/>
    <w:tmpl w:val="D30851D4"/>
    <w:lvl w:ilvl="0" w:tplc="7478A17E">
      <w:start w:val="1"/>
      <w:numFmt w:val="decimal"/>
      <w:lvlText w:val="%1."/>
      <w:lvlJc w:val="left"/>
      <w:pPr>
        <w:ind w:left="107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A5"/>
    <w:rsid w:val="000F1029"/>
    <w:rsid w:val="00183711"/>
    <w:rsid w:val="001A7F6D"/>
    <w:rsid w:val="00357678"/>
    <w:rsid w:val="00463397"/>
    <w:rsid w:val="00496C0B"/>
    <w:rsid w:val="004D62AB"/>
    <w:rsid w:val="005110E0"/>
    <w:rsid w:val="005203AD"/>
    <w:rsid w:val="00937C5F"/>
    <w:rsid w:val="009B6872"/>
    <w:rsid w:val="009D34C4"/>
    <w:rsid w:val="00A43F36"/>
    <w:rsid w:val="00AF2637"/>
    <w:rsid w:val="00B43104"/>
    <w:rsid w:val="00B8312B"/>
    <w:rsid w:val="00CE68F5"/>
    <w:rsid w:val="00DB71B9"/>
    <w:rsid w:val="00DE16A5"/>
    <w:rsid w:val="00E73319"/>
    <w:rsid w:val="00EB6485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CB13"/>
  <w15:chartTrackingRefBased/>
  <w15:docId w15:val="{B1EA2A33-A9E2-4E9C-99CC-4633D567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0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10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0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0E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0E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0E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0E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0E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0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0E0"/>
    <w:rPr>
      <w:b/>
      <w:bCs/>
    </w:rPr>
  </w:style>
  <w:style w:type="paragraph" w:styleId="a4">
    <w:name w:val="List Paragraph"/>
    <w:basedOn w:val="a"/>
    <w:uiPriority w:val="34"/>
    <w:qFormat/>
    <w:rsid w:val="005110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8F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0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10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10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10E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10E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10E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10E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10E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10E0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5110E0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110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5110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5110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5110E0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5110E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110E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110E0"/>
    <w:rPr>
      <w:i/>
    </w:rPr>
  </w:style>
  <w:style w:type="character" w:customStyle="1" w:styleId="22">
    <w:name w:val="Цитата 2 Знак"/>
    <w:basedOn w:val="a0"/>
    <w:link w:val="21"/>
    <w:uiPriority w:val="29"/>
    <w:rsid w:val="005110E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10E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10E0"/>
    <w:rPr>
      <w:b/>
      <w:i/>
      <w:sz w:val="24"/>
    </w:rPr>
  </w:style>
  <w:style w:type="character" w:styleId="af">
    <w:name w:val="Subtle Emphasis"/>
    <w:uiPriority w:val="19"/>
    <w:qFormat/>
    <w:rsid w:val="005110E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10E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10E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10E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10E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10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76.5</c:v>
                </c:pt>
                <c:pt idx="1">
                  <c:v>50.7</c:v>
                </c:pt>
                <c:pt idx="2">
                  <c:v>64.2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9E-4B2F-B980-02EAF871BB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49468063373531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9E-4B2F-B980-02EAF871BB6C}"/>
                </c:ext>
              </c:extLst>
            </c:dLbl>
            <c:dLbl>
              <c:idx val="1"/>
              <c:layout>
                <c:manualLayout>
                  <c:x val="3.7420209506029721E-2"/>
                  <c:y val="1.8570536600772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9E-4B2F-B980-02EAF871BB6C}"/>
                </c:ext>
              </c:extLst>
            </c:dLbl>
            <c:dLbl>
              <c:idx val="2"/>
              <c:layout>
                <c:manualLayout>
                  <c:x val="2.9936167604823798E-2"/>
                  <c:y val="1.857053660077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9E-4B2F-B980-02EAF871BB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23.5</c:v>
                </c:pt>
                <c:pt idx="1">
                  <c:v>49.3</c:v>
                </c:pt>
                <c:pt idx="2">
                  <c:v>35.800000000000004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9E-4B2F-B980-02EAF871BB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939E-4B2F-B980-02EAF871BB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01405056"/>
        <c:axId val="155138304"/>
      </c:barChart>
      <c:catAx>
        <c:axId val="101405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38304"/>
        <c:crosses val="autoZero"/>
        <c:auto val="1"/>
        <c:lblAlgn val="ctr"/>
        <c:lblOffset val="100"/>
        <c:noMultiLvlLbl val="0"/>
      </c:catAx>
      <c:valAx>
        <c:axId val="15513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40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NatashaCMP</cp:lastModifiedBy>
  <cp:revision>14</cp:revision>
  <cp:lastPrinted>2023-10-23T09:23:00Z</cp:lastPrinted>
  <dcterms:created xsi:type="dcterms:W3CDTF">2023-08-29T05:48:00Z</dcterms:created>
  <dcterms:modified xsi:type="dcterms:W3CDTF">2023-10-23T09:24:00Z</dcterms:modified>
</cp:coreProperties>
</file>