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D8F0" w14:textId="2BE95E18" w:rsidR="008E7E13" w:rsidRPr="003A5711" w:rsidRDefault="008E7E13" w:rsidP="001150DA">
      <w:pPr>
        <w:pStyle w:val="a6"/>
        <w:jc w:val="center"/>
        <w:rPr>
          <w:rFonts w:ascii="Times New Roman" w:hAnsi="Times New Roman"/>
          <w:b/>
          <w:sz w:val="25"/>
          <w:szCs w:val="25"/>
        </w:rPr>
      </w:pPr>
      <w:r w:rsidRPr="003A5711">
        <w:rPr>
          <w:rFonts w:ascii="Times New Roman" w:hAnsi="Times New Roman"/>
          <w:b/>
          <w:sz w:val="25"/>
          <w:szCs w:val="25"/>
        </w:rPr>
        <w:t>Аналитическ</w:t>
      </w:r>
      <w:r w:rsidR="00882EB1" w:rsidRPr="003A5711">
        <w:rPr>
          <w:rFonts w:ascii="Times New Roman" w:hAnsi="Times New Roman"/>
          <w:b/>
          <w:sz w:val="25"/>
          <w:szCs w:val="25"/>
        </w:rPr>
        <w:t>ий обзор</w:t>
      </w:r>
      <w:r w:rsidRPr="003A5711">
        <w:rPr>
          <w:rFonts w:ascii="Times New Roman" w:hAnsi="Times New Roman"/>
          <w:b/>
          <w:sz w:val="25"/>
          <w:szCs w:val="25"/>
        </w:rPr>
        <w:t xml:space="preserve"> по</w:t>
      </w:r>
      <w:r w:rsidR="00882EB1" w:rsidRPr="003A5711">
        <w:rPr>
          <w:rFonts w:ascii="Times New Roman" w:hAnsi="Times New Roman"/>
          <w:b/>
          <w:sz w:val="25"/>
          <w:szCs w:val="25"/>
        </w:rPr>
        <w:t xml:space="preserve"> результатам </w:t>
      </w:r>
      <w:r w:rsidRPr="003A5711">
        <w:rPr>
          <w:rFonts w:ascii="Times New Roman" w:hAnsi="Times New Roman"/>
          <w:b/>
          <w:sz w:val="25"/>
          <w:szCs w:val="25"/>
        </w:rPr>
        <w:t>данны</w:t>
      </w:r>
      <w:r w:rsidR="00882EB1" w:rsidRPr="003A5711">
        <w:rPr>
          <w:rFonts w:ascii="Times New Roman" w:hAnsi="Times New Roman"/>
          <w:b/>
          <w:sz w:val="25"/>
          <w:szCs w:val="25"/>
        </w:rPr>
        <w:t>х</w:t>
      </w:r>
      <w:r w:rsidRPr="003A5711">
        <w:rPr>
          <w:rFonts w:ascii="Times New Roman" w:hAnsi="Times New Roman"/>
          <w:b/>
          <w:sz w:val="25"/>
          <w:szCs w:val="25"/>
        </w:rPr>
        <w:t xml:space="preserve"> медико-социологическог</w:t>
      </w:r>
      <w:bookmarkStart w:id="0" w:name="_GoBack"/>
      <w:bookmarkEnd w:id="0"/>
      <w:r w:rsidRPr="003A5711">
        <w:rPr>
          <w:rFonts w:ascii="Times New Roman" w:hAnsi="Times New Roman"/>
          <w:b/>
          <w:sz w:val="25"/>
          <w:szCs w:val="25"/>
        </w:rPr>
        <w:t>о</w:t>
      </w:r>
      <w:r w:rsidR="00882EB1" w:rsidRPr="003A5711">
        <w:rPr>
          <w:rFonts w:ascii="Times New Roman" w:hAnsi="Times New Roman"/>
          <w:b/>
          <w:sz w:val="25"/>
          <w:szCs w:val="25"/>
        </w:rPr>
        <w:t xml:space="preserve"> исследования</w:t>
      </w:r>
      <w:r w:rsidRPr="003A5711">
        <w:rPr>
          <w:rFonts w:ascii="Times New Roman" w:hAnsi="Times New Roman"/>
          <w:b/>
          <w:sz w:val="25"/>
          <w:szCs w:val="25"/>
        </w:rPr>
        <w:t xml:space="preserve"> в рамках реализации </w:t>
      </w:r>
      <w:r w:rsidR="00BB036E" w:rsidRPr="003A5711">
        <w:rPr>
          <w:rFonts w:ascii="Times New Roman" w:hAnsi="Times New Roman"/>
          <w:b/>
          <w:sz w:val="25"/>
          <w:szCs w:val="25"/>
        </w:rPr>
        <w:t xml:space="preserve">Национального проект «Демография 2019- 2024» среди студентов учебных </w:t>
      </w:r>
      <w:proofErr w:type="gramStart"/>
      <w:r w:rsidR="003E1DE8" w:rsidRPr="003A5711">
        <w:rPr>
          <w:rFonts w:ascii="Times New Roman" w:hAnsi="Times New Roman"/>
          <w:b/>
          <w:sz w:val="25"/>
          <w:szCs w:val="25"/>
        </w:rPr>
        <w:t xml:space="preserve">заведений </w:t>
      </w:r>
      <w:r w:rsidR="003A5711" w:rsidRPr="003A5711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="003E1DE8" w:rsidRPr="003A5711">
        <w:rPr>
          <w:rFonts w:ascii="Times New Roman" w:hAnsi="Times New Roman"/>
          <w:b/>
          <w:sz w:val="25"/>
          <w:szCs w:val="25"/>
        </w:rPr>
        <w:t>Старооскольского</w:t>
      </w:r>
      <w:proofErr w:type="spellEnd"/>
      <w:proofErr w:type="gramEnd"/>
      <w:r w:rsidRPr="003A5711">
        <w:rPr>
          <w:rFonts w:ascii="Times New Roman" w:hAnsi="Times New Roman"/>
          <w:b/>
          <w:sz w:val="25"/>
          <w:szCs w:val="25"/>
        </w:rPr>
        <w:t xml:space="preserve"> городского округа</w:t>
      </w:r>
    </w:p>
    <w:p w14:paraId="6121E51A" w14:textId="77777777" w:rsidR="00BB036E" w:rsidRPr="003A5711" w:rsidRDefault="00BB036E" w:rsidP="001150D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14:paraId="3F12224B" w14:textId="4D1EF2D7" w:rsidR="008A728B" w:rsidRPr="003A5711" w:rsidRDefault="005F63A7" w:rsidP="001150DA">
      <w:pPr>
        <w:shd w:val="clear" w:color="auto" w:fill="FFFFFF"/>
        <w:spacing w:after="30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Хронические неинфекционные заболевания (ХНИЗ) – ведущая причина временной утраты трудоспособности, инвалидизации и смертности населения в большинстве развитых стран мира, включая Россию. В настоящее время хорошо изучены факторы риска (ФР), приводящие к возникновению ХНИЗ. Показано, что восемь ФР обусловливают до 75 % смертности от этих видов патологии. К основным ФР ХНИЗ относятся: повышенное артериальное давление (АД), дислипидемия, курение, нерациональное питание, низкий уровень физической активности, повышенный уровень глюкозы в крови, избыточная масса тела и ожирение, пагубное употребление алкоголя  Поскольку патологическое действие этих ФР, а также формирование ХНИЗ начинается в подростковом и молодом возрасте , представляет интерес изучение распространенности этих ФР среди молодежи, особенно студенческой, так как процесс обучения требует значительного напряжения всех резервов организма, что приводит к реакции дезадаптации. В результате этого влияние ФР ХНИЗ в студенческой популяции становится наиболее выраженным</w:t>
      </w:r>
      <w:r w:rsidR="008A728B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C0D72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обучения к ним предъявляются высокие требования</w:t>
      </w:r>
      <w:r w:rsidR="008A728B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CB4D16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A728B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длительный 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обучения, больш</w:t>
      </w:r>
      <w:r w:rsidR="008A728B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количество информации.</w:t>
      </w:r>
    </w:p>
    <w:p w14:paraId="46E4CF67" w14:textId="6F81722A" w:rsidR="005F63A7" w:rsidRPr="003A5711" w:rsidRDefault="005F63A7" w:rsidP="001150DA">
      <w:pPr>
        <w:shd w:val="clear" w:color="auto" w:fill="FFFFFF"/>
        <w:spacing w:after="30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Такие биологические факторы</w:t>
      </w:r>
      <w:r w:rsidR="003A5711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как, нерациональное питание, 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ожирение, артериальная </w:t>
      </w:r>
      <w:r w:rsidR="003A5711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гипертензия, курение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являются наиболее значимыми в формировании </w:t>
      </w:r>
      <w:r w:rsidR="003A5711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хронических неинфекционных заболеваний (ХНИЗ)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первое десятилетие XXI века установлен значительный рост распространенности экзогенно-конституционального ожирения в сравнении с 80-ми годами XX века (в 20</w:t>
      </w:r>
      <w:r w:rsidR="008A728B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 1</w:t>
      </w:r>
      <w:r w:rsidR="008A728B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 мужчин и 1</w:t>
      </w:r>
      <w:r w:rsidR="008A728B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 женщин имели ожирение, а в 1980 г. распространенность ожирения составляла 5 % у мужчин и 8 % у женщин)</w:t>
      </w:r>
      <w:r w:rsidR="003C0520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.Ожирение является 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предиктором метаболического синдрома, острых сердечно-сосудистых заболеваний</w:t>
      </w:r>
      <w:r w:rsidR="003C0520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45C22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Эндотелиальная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дисфункция уменьшение дилатации сосудов и нарастание </w:t>
      </w:r>
      <w:proofErr w:type="spellStart"/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вазоконстрикции</w:t>
      </w:r>
      <w:proofErr w:type="spellEnd"/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ответ на </w:t>
      </w:r>
      <w:proofErr w:type="spellStart"/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вазорасширяющие</w:t>
      </w:r>
      <w:proofErr w:type="spellEnd"/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вещества в свою очередь, является причиной таких патологических состояний, как сахарный диабет (СД) 2-го типа, гипертоническая болезнь (ГБ), атеросклероз, сердечная </w:t>
      </w:r>
      <w:r w:rsidR="00845C22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недостаточность.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Одним из показателей функции эндотелия является оксид азота (NO) – мощный эндогенный </w:t>
      </w:r>
      <w:proofErr w:type="spellStart"/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вазодилятатор</w:t>
      </w:r>
      <w:proofErr w:type="spellEnd"/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постоянно синтезируется в эндотелии для поддержания базального тонуса сосудов. Дефицит NO и дисфункция эндотелия обнаруживаются при заболеваниях и факторах риска, способствующих развитию ишемической болезни сердца, ГБ, атеросклероза, СД. Важнейшим фактором риска развития атеросклероза является </w:t>
      </w:r>
      <w:proofErr w:type="spellStart"/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гиперхолестеринемия</w:t>
      </w:r>
      <w:proofErr w:type="spellEnd"/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Доказано наличие тесной прямой корреляционной зависимости между уровнем общего холестерина и развитием ИБС. Таким образом, определение таких метаболических показателей является важным в ранней диагностике и предотвращении развития ХНИЗ у лиц молодого трудоспособного возраста.</w:t>
      </w:r>
    </w:p>
    <w:p w14:paraId="1309511C" w14:textId="4079AC16" w:rsidR="00CE5FD1" w:rsidRPr="003A5711" w:rsidRDefault="00CE5FD1" w:rsidP="001150DA">
      <w:pPr>
        <w:shd w:val="clear" w:color="auto" w:fill="FFFFFF"/>
        <w:spacing w:after="30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Актуальность</w:t>
      </w:r>
      <w:r w:rsidR="00CB4D16" w:rsidRPr="003A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B4D16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ормирование здорового образа жизни у студенческой молодежи вызвана возрастанием и изменением характера нагрузок на организм человека в связи с его физическим, интеллектуальным и социальным развитием, происходящем в условиях усложнения общественной жизни, увеличения рисков техногенного, экологического, психологического, политического и военного характера, которые провоцируют негативные тенденции в состоянии здоровья студенческой молодежи.</w:t>
      </w:r>
    </w:p>
    <w:p w14:paraId="52F589BE" w14:textId="55E6EC1B" w:rsidR="005F63A7" w:rsidRPr="003A5711" w:rsidRDefault="005F63A7" w:rsidP="001150DA">
      <w:pPr>
        <w:shd w:val="clear" w:color="auto" w:fill="FFFFFF"/>
        <w:spacing w:after="30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</w:t>
      </w:r>
      <w:r w:rsidR="003C0520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C0520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3C0520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делить уровень 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распространенност</w:t>
      </w:r>
      <w:r w:rsidR="003C0520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основных факторов риска ХНИЗ, их </w:t>
      </w:r>
      <w:r w:rsidR="003C0520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корреляционную 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связь у студентов </w:t>
      </w:r>
      <w:proofErr w:type="spellStart"/>
      <w:r w:rsidR="00BA16AF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Старооскольского</w:t>
      </w:r>
      <w:proofErr w:type="spellEnd"/>
      <w:r w:rsidR="00BA16AF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округа, прошедших </w:t>
      </w:r>
      <w:r w:rsidR="00222D19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комплексное</w:t>
      </w:r>
      <w:r w:rsidR="00BA16AF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скрининговое обследование в Центре здоровья.</w:t>
      </w:r>
      <w:r w:rsidR="003B43BD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22D19" w:rsidRPr="003A5711">
        <w:rPr>
          <w:rFonts w:ascii="Times New Roman" w:hAnsi="Times New Roman" w:cs="Times New Roman"/>
          <w:sz w:val="24"/>
          <w:szCs w:val="24"/>
        </w:rPr>
        <w:t>ОГАПОУ «СТАКС</w:t>
      </w:r>
      <w:r w:rsidR="0094345F" w:rsidRPr="003A5711">
        <w:rPr>
          <w:rFonts w:ascii="Times New Roman" w:hAnsi="Times New Roman" w:cs="Times New Roman"/>
          <w:sz w:val="24"/>
          <w:szCs w:val="24"/>
        </w:rPr>
        <w:t>», НИУ</w:t>
      </w:r>
      <w:r w:rsidR="00222D19" w:rsidRPr="003A5711">
        <w:rPr>
          <w:rFonts w:ascii="Times New Roman" w:hAnsi="Times New Roman" w:cs="Times New Roman"/>
          <w:sz w:val="24"/>
          <w:szCs w:val="24"/>
        </w:rPr>
        <w:t xml:space="preserve"> </w:t>
      </w:r>
      <w:r w:rsidR="00222D19" w:rsidRPr="003A5711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="00222D19" w:rsidRPr="003A5711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r w:rsidR="00222D19" w:rsidRPr="003A5711">
        <w:rPr>
          <w:rFonts w:ascii="Times New Roman" w:hAnsi="Times New Roman" w:cs="Times New Roman"/>
          <w:sz w:val="24"/>
          <w:szCs w:val="24"/>
        </w:rPr>
        <w:t>»,</w:t>
      </w:r>
      <w:r w:rsidR="00CB4D16" w:rsidRPr="003A5711">
        <w:rPr>
          <w:rFonts w:ascii="Times New Roman" w:hAnsi="Times New Roman" w:cs="Times New Roman"/>
          <w:sz w:val="24"/>
          <w:szCs w:val="24"/>
        </w:rPr>
        <w:t xml:space="preserve"> </w:t>
      </w:r>
      <w:r w:rsidR="00222D19" w:rsidRPr="003A5711">
        <w:rPr>
          <w:rFonts w:ascii="Times New Roman" w:hAnsi="Times New Roman" w:cs="Times New Roman"/>
          <w:sz w:val="24"/>
          <w:szCs w:val="24"/>
        </w:rPr>
        <w:t xml:space="preserve">СТИ НИТУ </w:t>
      </w:r>
      <w:proofErr w:type="spellStart"/>
      <w:r w:rsidR="00222D19" w:rsidRPr="003A5711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222D19" w:rsidRPr="003A5711">
        <w:rPr>
          <w:rFonts w:ascii="Times New Roman" w:hAnsi="Times New Roman" w:cs="Times New Roman"/>
          <w:sz w:val="24"/>
          <w:szCs w:val="24"/>
        </w:rPr>
        <w:t>, ОГАПОУ «</w:t>
      </w:r>
      <w:proofErr w:type="spellStart"/>
      <w:r w:rsidR="00222D19" w:rsidRPr="003A5711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="00222D19" w:rsidRPr="003A5711">
        <w:rPr>
          <w:rFonts w:ascii="Times New Roman" w:hAnsi="Times New Roman" w:cs="Times New Roman"/>
          <w:sz w:val="24"/>
          <w:szCs w:val="24"/>
        </w:rPr>
        <w:t xml:space="preserve"> техникум технологии и дизайна», ОГАПОУ «СМК»,</w:t>
      </w:r>
      <w:r w:rsidR="00CB4D16" w:rsidRPr="003A5711">
        <w:rPr>
          <w:rFonts w:ascii="Times New Roman" w:hAnsi="Times New Roman" w:cs="Times New Roman"/>
          <w:sz w:val="24"/>
          <w:szCs w:val="24"/>
        </w:rPr>
        <w:t xml:space="preserve"> </w:t>
      </w:r>
      <w:r w:rsidR="00222D19" w:rsidRPr="003A5711">
        <w:rPr>
          <w:rFonts w:ascii="Times New Roman" w:hAnsi="Times New Roman" w:cs="Times New Roman"/>
          <w:sz w:val="24"/>
          <w:szCs w:val="24"/>
        </w:rPr>
        <w:t>ОГАПОУ «СИТТ» СОФ МГРИ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632AF612" w14:textId="16FCB2CF" w:rsidR="00DF1A8B" w:rsidRPr="003A5711" w:rsidRDefault="005F63A7" w:rsidP="001150DA">
      <w:pPr>
        <w:shd w:val="clear" w:color="auto" w:fill="FFFFFF"/>
        <w:spacing w:after="30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Материалы и методы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DF1A8B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с февраля по май 2023 года п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роведен</w:t>
      </w:r>
      <w:r w:rsidR="00DF1A8B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BA16AF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комплексно– скринингов</w:t>
      </w:r>
      <w:r w:rsidR="00DF1A8B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r w:rsidR="00BA16AF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обследовани</w:t>
      </w:r>
      <w:r w:rsidR="00DF1A8B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студентов</w:t>
      </w:r>
      <w:r w:rsidR="003B43BD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43BD" w:rsidRPr="003A5711">
        <w:rPr>
          <w:rFonts w:ascii="Times New Roman" w:hAnsi="Times New Roman" w:cs="Times New Roman"/>
          <w:sz w:val="24"/>
          <w:szCs w:val="24"/>
        </w:rPr>
        <w:t>ОГАПОУ «СТАКС»,</w:t>
      </w:r>
      <w:r w:rsidR="00CB4D16" w:rsidRPr="003A5711">
        <w:rPr>
          <w:rFonts w:ascii="Times New Roman" w:hAnsi="Times New Roman" w:cs="Times New Roman"/>
          <w:sz w:val="24"/>
          <w:szCs w:val="24"/>
        </w:rPr>
        <w:t xml:space="preserve"> </w:t>
      </w:r>
      <w:r w:rsidR="003B43BD" w:rsidRPr="003A5711">
        <w:rPr>
          <w:rFonts w:ascii="Times New Roman" w:hAnsi="Times New Roman" w:cs="Times New Roman"/>
          <w:sz w:val="24"/>
          <w:szCs w:val="24"/>
        </w:rPr>
        <w:t>НИУ «</w:t>
      </w:r>
      <w:proofErr w:type="spellStart"/>
      <w:r w:rsidR="003B43BD" w:rsidRPr="003A5711">
        <w:rPr>
          <w:rFonts w:ascii="Times New Roman" w:hAnsi="Times New Roman" w:cs="Times New Roman"/>
          <w:sz w:val="24"/>
          <w:szCs w:val="24"/>
        </w:rPr>
        <w:t>БелГУ</w:t>
      </w:r>
      <w:proofErr w:type="spellEnd"/>
      <w:proofErr w:type="gramStart"/>
      <w:r w:rsidR="003B43BD" w:rsidRPr="003A5711">
        <w:rPr>
          <w:rFonts w:ascii="Times New Roman" w:hAnsi="Times New Roman" w:cs="Times New Roman"/>
          <w:sz w:val="24"/>
          <w:szCs w:val="24"/>
        </w:rPr>
        <w:t>» ,СТИ</w:t>
      </w:r>
      <w:proofErr w:type="gramEnd"/>
      <w:r w:rsidR="003B43BD" w:rsidRPr="003A5711">
        <w:rPr>
          <w:rFonts w:ascii="Times New Roman" w:hAnsi="Times New Roman" w:cs="Times New Roman"/>
          <w:sz w:val="24"/>
          <w:szCs w:val="24"/>
        </w:rPr>
        <w:t xml:space="preserve"> НИТУ </w:t>
      </w:r>
      <w:proofErr w:type="spellStart"/>
      <w:r w:rsidR="003B43BD" w:rsidRPr="003A5711"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 w:rsidR="003B43BD" w:rsidRPr="003A5711">
        <w:rPr>
          <w:rFonts w:ascii="Times New Roman" w:hAnsi="Times New Roman" w:cs="Times New Roman"/>
          <w:sz w:val="24"/>
          <w:szCs w:val="24"/>
        </w:rPr>
        <w:t>, ОГАПОУ «</w:t>
      </w:r>
      <w:proofErr w:type="spellStart"/>
      <w:r w:rsidR="003B43BD" w:rsidRPr="003A5711">
        <w:rPr>
          <w:rFonts w:ascii="Times New Roman" w:hAnsi="Times New Roman" w:cs="Times New Roman"/>
          <w:sz w:val="24"/>
          <w:szCs w:val="24"/>
        </w:rPr>
        <w:t>Старооскольский</w:t>
      </w:r>
      <w:proofErr w:type="spellEnd"/>
      <w:r w:rsidR="003B43BD" w:rsidRPr="003A5711">
        <w:rPr>
          <w:rFonts w:ascii="Times New Roman" w:hAnsi="Times New Roman" w:cs="Times New Roman"/>
          <w:sz w:val="24"/>
          <w:szCs w:val="24"/>
        </w:rPr>
        <w:t xml:space="preserve"> техникум технологии и дизайна», ОГАПОУ «СМК»,ОГАПОУ «СИТТ» СОФ МГРИ</w:t>
      </w:r>
      <w:r w:rsidR="003B43BD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14:paraId="4F0355AE" w14:textId="29EB68FF" w:rsidR="002A5A29" w:rsidRPr="003A5711" w:rsidRDefault="005F63A7" w:rsidP="001150DA">
      <w:pPr>
        <w:shd w:val="clear" w:color="auto" w:fill="FFFFFF"/>
        <w:spacing w:after="30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Обследовано </w:t>
      </w:r>
      <w:r w:rsidR="00DF1A8B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1399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студентов (мужчин – </w:t>
      </w:r>
      <w:r w:rsidR="006240D1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473 человека (33,8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</w:t>
      </w:r>
      <w:r w:rsidR="006240D1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женщин – </w:t>
      </w:r>
      <w:r w:rsidR="006240D1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926 человек (66,2%)).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Оценка факторов риска хронических неинфекционных заболеваний проводилась по</w:t>
      </w:r>
      <w:r w:rsidR="003B43BD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A5711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3B43BD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нкете на выявление факторов риска неинфекционных заболеваний</w:t>
      </w:r>
      <w:r w:rsidR="003A5711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</w:t>
      </w:r>
      <w:r w:rsidR="003B43BD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риложение №3, согласно </w:t>
      </w:r>
      <w:proofErr w:type="gramStart"/>
      <w:r w:rsidR="003B43BD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рекомендациям</w:t>
      </w:r>
      <w:r w:rsidR="00AC64B7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B43BD" w:rsidRPr="003A5711">
        <w:rPr>
          <w:rFonts w:ascii="Times New Roman" w:hAnsi="Times New Roman" w:cs="Times New Roman"/>
          <w:sz w:val="24"/>
          <w:szCs w:val="24"/>
        </w:rPr>
        <w:t xml:space="preserve"> ФГБУ</w:t>
      </w:r>
      <w:proofErr w:type="gramEnd"/>
      <w:r w:rsidR="003B43BD" w:rsidRPr="003A5711">
        <w:rPr>
          <w:rFonts w:ascii="Times New Roman" w:hAnsi="Times New Roman" w:cs="Times New Roman"/>
          <w:sz w:val="24"/>
          <w:szCs w:val="24"/>
        </w:rPr>
        <w:t xml:space="preserve"> НМИЦ ТПМ</w:t>
      </w:r>
      <w:r w:rsidR="003A5711" w:rsidRPr="003A5711">
        <w:rPr>
          <w:rFonts w:ascii="Times New Roman" w:hAnsi="Times New Roman" w:cs="Times New Roman"/>
          <w:sz w:val="24"/>
          <w:szCs w:val="24"/>
        </w:rPr>
        <w:t>)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14:paraId="3B527CC3" w14:textId="20393DC4" w:rsidR="002A5A29" w:rsidRPr="003A5711" w:rsidRDefault="002A5A29" w:rsidP="001150DA">
      <w:pPr>
        <w:shd w:val="clear" w:color="auto" w:fill="FFFFFF"/>
        <w:spacing w:after="30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711">
        <w:rPr>
          <w:rFonts w:ascii="Times New Roman" w:hAnsi="Times New Roman" w:cs="Times New Roman"/>
          <w:b/>
          <w:sz w:val="24"/>
          <w:szCs w:val="24"/>
          <w:u w:val="single"/>
        </w:rPr>
        <w:t>Предмет исследования</w:t>
      </w:r>
      <w:r w:rsidRPr="003A5711">
        <w:rPr>
          <w:rFonts w:ascii="Times New Roman" w:hAnsi="Times New Roman" w:cs="Times New Roman"/>
          <w:sz w:val="24"/>
          <w:szCs w:val="24"/>
        </w:rPr>
        <w:t xml:space="preserve"> - результаты анонимного анкетирования.</w:t>
      </w:r>
    </w:p>
    <w:p w14:paraId="3334845C" w14:textId="6E557823" w:rsidR="002A5A29" w:rsidRPr="003A5711" w:rsidRDefault="002A5A29" w:rsidP="001150D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11">
        <w:rPr>
          <w:rFonts w:ascii="Times New Roman" w:hAnsi="Times New Roman" w:cs="Times New Roman"/>
          <w:sz w:val="24"/>
          <w:szCs w:val="24"/>
        </w:rPr>
        <w:t>В соответствии с указанной целью специалистами отдела мониторинга факторов риска ОГБУЗ «Центр общественного здоровья и медицинской профилактики города Старого Оскола» были поставлены следующие задачи:</w:t>
      </w:r>
    </w:p>
    <w:p w14:paraId="00C69D09" w14:textId="77777777" w:rsidR="002A5A29" w:rsidRPr="003A5711" w:rsidRDefault="002A5A29" w:rsidP="001150DA">
      <w:pPr>
        <w:pStyle w:val="a5"/>
        <w:spacing w:after="0" w:line="240" w:lineRule="auto"/>
        <w:ind w:left="284" w:firstLine="567"/>
        <w:jc w:val="both"/>
        <w:rPr>
          <w:rFonts w:ascii="Times New Roman" w:hAnsi="Times New Roman"/>
          <w:sz w:val="24"/>
          <w:szCs w:val="24"/>
        </w:rPr>
      </w:pPr>
      <w:r w:rsidRPr="003A5711">
        <w:rPr>
          <w:rFonts w:ascii="Times New Roman" w:hAnsi="Times New Roman"/>
          <w:sz w:val="24"/>
          <w:szCs w:val="24"/>
        </w:rPr>
        <w:t>1. Провести анонимное анкетирование;</w:t>
      </w:r>
    </w:p>
    <w:p w14:paraId="5E830D0D" w14:textId="77777777" w:rsidR="002A5A29" w:rsidRPr="003A5711" w:rsidRDefault="002A5A29" w:rsidP="001150D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11">
        <w:rPr>
          <w:rFonts w:ascii="Times New Roman" w:hAnsi="Times New Roman" w:cs="Times New Roman"/>
          <w:sz w:val="24"/>
          <w:szCs w:val="24"/>
        </w:rPr>
        <w:t xml:space="preserve">2. Проанализировать проведенное анкетирование, выявить факторы риска и их </w:t>
      </w:r>
      <w:r w:rsidRPr="003A5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потенциальное влияние на состояние здоровья респондентов.</w:t>
      </w:r>
    </w:p>
    <w:p w14:paraId="6498A10F" w14:textId="77777777" w:rsidR="002A5A29" w:rsidRPr="003A5711" w:rsidRDefault="002A5A29" w:rsidP="001150DA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4E67B2FC" w14:textId="713B1F9A" w:rsidR="002A5A29" w:rsidRPr="003A5711" w:rsidRDefault="002A5A29" w:rsidP="001150DA">
      <w:pPr>
        <w:pStyle w:val="a5"/>
        <w:spacing w:after="0" w:line="240" w:lineRule="auto"/>
        <w:ind w:left="284" w:firstLine="567"/>
        <w:jc w:val="both"/>
        <w:rPr>
          <w:rFonts w:ascii="Times New Roman" w:hAnsi="Times New Roman"/>
          <w:b/>
          <w:sz w:val="24"/>
          <w:szCs w:val="24"/>
        </w:rPr>
      </w:pPr>
      <w:r w:rsidRPr="003A5711">
        <w:rPr>
          <w:rFonts w:ascii="Times New Roman" w:hAnsi="Times New Roman"/>
          <w:b/>
          <w:sz w:val="24"/>
          <w:szCs w:val="24"/>
        </w:rPr>
        <w:t xml:space="preserve">      </w:t>
      </w:r>
      <w:r w:rsidRPr="003A5711">
        <w:rPr>
          <w:rFonts w:ascii="Times New Roman" w:hAnsi="Times New Roman"/>
          <w:sz w:val="24"/>
          <w:szCs w:val="24"/>
        </w:rPr>
        <w:t>Результаты статистической обработки анкет изложены в виде таблиц</w:t>
      </w:r>
      <w:r w:rsidR="006240D1" w:rsidRPr="003A5711">
        <w:rPr>
          <w:rFonts w:ascii="Times New Roman" w:hAnsi="Times New Roman"/>
          <w:sz w:val="24"/>
          <w:szCs w:val="24"/>
        </w:rPr>
        <w:t>ы</w:t>
      </w:r>
      <w:r w:rsidR="00AF2CD1" w:rsidRPr="003A5711">
        <w:rPr>
          <w:rFonts w:ascii="Times New Roman" w:hAnsi="Times New Roman"/>
          <w:sz w:val="24"/>
          <w:szCs w:val="24"/>
        </w:rPr>
        <w:t xml:space="preserve"> и диаграмм, обеспечивающих</w:t>
      </w:r>
      <w:r w:rsidRPr="003A5711">
        <w:rPr>
          <w:rFonts w:ascii="Times New Roman" w:hAnsi="Times New Roman"/>
          <w:sz w:val="24"/>
          <w:szCs w:val="24"/>
        </w:rPr>
        <w:t xml:space="preserve"> наглядность и дающих возможность количественной и качественной характеристики анализа полученных данных.</w:t>
      </w:r>
    </w:p>
    <w:p w14:paraId="0D892D8B" w14:textId="7764715C" w:rsidR="005F63A7" w:rsidRPr="003A5711" w:rsidRDefault="002A5A29" w:rsidP="001150DA">
      <w:pPr>
        <w:shd w:val="clear" w:color="auto" w:fill="FFFFFF"/>
        <w:tabs>
          <w:tab w:val="left" w:pos="284"/>
        </w:tabs>
        <w:spacing w:after="300" w:line="240" w:lineRule="auto"/>
        <w:ind w:left="284" w:firstLine="567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C64B7"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Таблица1</w:t>
      </w:r>
      <w:r w:rsidR="00D36F1C"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F63A7"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Распространенность основных факторов риска ХНИЗ среди студентов</w:t>
      </w:r>
      <w:r w:rsidR="00AC64B7"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="00AC64B7"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Старооскольского</w:t>
      </w:r>
      <w:proofErr w:type="spellEnd"/>
      <w:r w:rsidR="00AC64B7"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городского округа</w:t>
      </w:r>
    </w:p>
    <w:tbl>
      <w:tblPr>
        <w:tblW w:w="0" w:type="auto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701"/>
        <w:gridCol w:w="1336"/>
        <w:gridCol w:w="1559"/>
      </w:tblGrid>
      <w:tr w:rsidR="002C1AA2" w:rsidRPr="005F63A7" w14:paraId="4344F900" w14:textId="77777777" w:rsidTr="0013687B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4F679" w14:textId="77777777" w:rsidR="002C1AA2" w:rsidRPr="0013687B" w:rsidRDefault="002C1AA2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 риска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07D03" w14:textId="77777777" w:rsidR="002C1AA2" w:rsidRPr="0013687B" w:rsidRDefault="002C1AA2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5B18BBFF" w14:textId="76280BA1" w:rsidR="002C1AA2" w:rsidRPr="0013687B" w:rsidRDefault="002C1AA2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59BE2" w14:textId="79531127" w:rsidR="002C1AA2" w:rsidRPr="0013687B" w:rsidRDefault="002C1AA2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A19AD" w14:textId="77777777" w:rsidR="002C1AA2" w:rsidRPr="0013687B" w:rsidRDefault="002C1AA2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Женщины</w:t>
            </w:r>
          </w:p>
          <w:p w14:paraId="0E57BCE5" w14:textId="02C5F424" w:rsidR="002C1AA2" w:rsidRPr="0013687B" w:rsidRDefault="002C1AA2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1AA2" w:rsidRPr="005F63A7" w14:paraId="27B93EF3" w14:textId="77777777" w:rsidTr="0013687B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142B3" w14:textId="77777777" w:rsidR="002C1AA2" w:rsidRPr="0013687B" w:rsidRDefault="002C1AA2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B4BA" w14:textId="721421C3" w:rsidR="002C1AA2" w:rsidRPr="0013687B" w:rsidRDefault="00502067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2C64" w14:textId="09602C61" w:rsidR="002C1AA2" w:rsidRPr="0013687B" w:rsidRDefault="00502067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5FCF4" w14:textId="49934680" w:rsidR="002C1AA2" w:rsidRPr="0013687B" w:rsidRDefault="00502067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2C1AA2" w:rsidRPr="005F63A7" w14:paraId="59986BA2" w14:textId="77777777" w:rsidTr="0013687B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A601" w14:textId="187E9CA6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Артериальная гипертония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30E7" w14:textId="0EBFAC65" w:rsidR="002C1AA2" w:rsidRPr="0013687B" w:rsidRDefault="00502067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2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A0520" w14:textId="6A4547FA" w:rsidR="002C1AA2" w:rsidRPr="0013687B" w:rsidRDefault="00FA2967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02067"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39C87" w14:textId="7EE71EE1" w:rsidR="002C1AA2" w:rsidRPr="0013687B" w:rsidRDefault="00FA2967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02067"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C1AA2" w:rsidRPr="005F63A7" w14:paraId="4D65A1C4" w14:textId="77777777" w:rsidTr="0013687B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614D3" w14:textId="77777777" w:rsidR="002C1AA2" w:rsidRPr="0013687B" w:rsidRDefault="002C1AA2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Употребление алкоголя в малых дозах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AD82" w14:textId="4B5208FF" w:rsidR="002C1AA2" w:rsidRPr="0013687B" w:rsidRDefault="00502067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194F" w14:textId="252FF149" w:rsidR="002C1AA2" w:rsidRPr="0013687B" w:rsidRDefault="00502067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D7AB" w14:textId="3B483E68" w:rsidR="002C1AA2" w:rsidRPr="0013687B" w:rsidRDefault="00502067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2C1AA2" w:rsidRPr="005F63A7" w14:paraId="5008B6FE" w14:textId="77777777" w:rsidTr="0013687B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C3ED" w14:textId="77777777" w:rsidR="002C1AA2" w:rsidRPr="0013687B" w:rsidRDefault="002C1AA2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Гиподинамия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92594" w14:textId="5D8F0128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36760" w14:textId="522C5284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81B9" w14:textId="09667CE1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2C1AA2" w:rsidRPr="005F63A7" w14:paraId="77843D69" w14:textId="77777777" w:rsidTr="0013687B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11BBE" w14:textId="77777777" w:rsidR="002C1AA2" w:rsidRPr="0013687B" w:rsidRDefault="002C1AA2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Нерациональное 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23053" w14:textId="3BD17EEF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4B3FF" w14:textId="6EFF5D54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214A" w14:textId="55AC5CCB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</w:tr>
      <w:tr w:rsidR="002C1AA2" w:rsidRPr="005F63A7" w14:paraId="659ACFD2" w14:textId="77777777" w:rsidTr="0013687B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EB6B" w14:textId="64747C94" w:rsidR="002C1AA2" w:rsidRPr="0013687B" w:rsidRDefault="001150DA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6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Гиперхолестеринемия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2E88" w14:textId="5070CC8F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DD5E5" w14:textId="12646A9C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9EC4" w14:textId="315AA24A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2C1AA2" w:rsidRPr="005F63A7" w14:paraId="1C194F1E" w14:textId="77777777" w:rsidTr="0013687B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38A72" w14:textId="7D10AC86" w:rsidR="002C1AA2" w:rsidRPr="0013687B" w:rsidRDefault="005256E6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Избыточная масса тела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2B7B" w14:textId="03B78100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CF18" w14:textId="31DC9B44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BB83" w14:textId="773D575E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</w:tr>
      <w:tr w:rsidR="002C1AA2" w:rsidRPr="005F63A7" w14:paraId="666D8E1F" w14:textId="77777777" w:rsidTr="0013687B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FACF" w14:textId="074D9EEC" w:rsidR="002C1AA2" w:rsidRPr="0013687B" w:rsidRDefault="002C1AA2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Ожирение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8090" w14:textId="47D67B42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D1FA" w14:textId="0A435D4F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25078" w14:textId="555F5A5E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2C1AA2" w:rsidRPr="005F63A7" w14:paraId="511E6FA6" w14:textId="77777777" w:rsidTr="0013687B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22643" w14:textId="461AAA9B" w:rsidR="002C1AA2" w:rsidRPr="0013687B" w:rsidRDefault="005256E6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Повышенный уровень глюкозы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9A80" w14:textId="4124048B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0941" w14:textId="2EAA0BD0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B38A" w14:textId="62159C25" w:rsidR="002C1AA2" w:rsidRPr="0013687B" w:rsidRDefault="0013687B" w:rsidP="0013687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</w:tbl>
    <w:p w14:paraId="6F6116CA" w14:textId="77777777" w:rsidR="003C0D72" w:rsidRDefault="003C0D72" w:rsidP="00F2367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50F0988" w14:textId="52BE737B" w:rsidR="00F2367B" w:rsidRPr="003A5711" w:rsidRDefault="006240D1" w:rsidP="003A5711">
      <w:pPr>
        <w:shd w:val="clear" w:color="auto" w:fill="FFFFFF"/>
        <w:spacing w:after="30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Диаграмма </w:t>
      </w:r>
      <w:r w:rsidR="00F2367B"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 Распространенность основных факторов риска ХНИЗ среди студентов </w:t>
      </w:r>
      <w:proofErr w:type="spellStart"/>
      <w:r w:rsidR="00F2367B"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Старооскольского</w:t>
      </w:r>
      <w:proofErr w:type="spellEnd"/>
      <w:r w:rsidR="00F2367B"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городского округа </w:t>
      </w:r>
      <w:r w:rsidR="0013687B"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процентном соотношении</w:t>
      </w:r>
    </w:p>
    <w:p w14:paraId="402E6799" w14:textId="73F839A3" w:rsidR="00F2367B" w:rsidRPr="00F2367B" w:rsidRDefault="00FA2967" w:rsidP="00FA296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4C829C3" wp14:editId="575F2040">
            <wp:extent cx="5001122" cy="2425148"/>
            <wp:effectExtent l="0" t="0" r="9525" b="1333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3BAFBC83-76CF-464F-90DC-20B9C7DD15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CF501A4" w14:textId="0B153D5D" w:rsidR="003C0D72" w:rsidRPr="003A5711" w:rsidRDefault="005256E6" w:rsidP="003C0D72">
      <w:pPr>
        <w:shd w:val="clear" w:color="auto" w:fill="FFFFFF"/>
        <w:spacing w:after="30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Анализ результатов:</w:t>
      </w:r>
      <w:r w:rsidR="003C0D72" w:rsidRPr="003A57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</w:t>
      </w:r>
      <w:r w:rsidR="003837DF" w:rsidRPr="003A57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одводя итог результатов </w:t>
      </w:r>
      <w:proofErr w:type="spellStart"/>
      <w:r w:rsidR="003837DF" w:rsidRPr="003A57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медико</w:t>
      </w:r>
      <w:proofErr w:type="spellEnd"/>
      <w:r w:rsidR="003837DF" w:rsidRPr="003A57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– социологического исследования необходимо отметить </w:t>
      </w:r>
      <w:r w:rsidR="005F63A7" w:rsidRPr="003A57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высок</w:t>
      </w:r>
      <w:r w:rsidR="003837DF" w:rsidRPr="003A57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ую</w:t>
      </w:r>
      <w:r w:rsidR="005F63A7" w:rsidRPr="003A57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распространенность </w:t>
      </w:r>
      <w:r w:rsidR="003C0D72" w:rsidRPr="003A57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таких факторов риска как нерациональное питание, гиподинамия и избыточная масса тела. </w:t>
      </w:r>
    </w:p>
    <w:p w14:paraId="45EFD840" w14:textId="77777777" w:rsidR="003C0D72" w:rsidRPr="003A5711" w:rsidRDefault="003C0D72" w:rsidP="003C0D72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31ADEAF6" w14:textId="61458554" w:rsidR="006240D1" w:rsidRPr="003A5711" w:rsidRDefault="006240D1" w:rsidP="00CB4D16">
      <w:pPr>
        <w:shd w:val="clear" w:color="auto" w:fill="FFFFFF"/>
        <w:spacing w:after="30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Диаграмма 2</w:t>
      </w:r>
      <w:r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Распространенность основных факторов риска ХНИЗ среди студентов </w:t>
      </w:r>
      <w:proofErr w:type="spellStart"/>
      <w:r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Старооскольского</w:t>
      </w:r>
      <w:proofErr w:type="spellEnd"/>
      <w:r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городского округа </w:t>
      </w:r>
      <w:r w:rsidR="003C0D72"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 гендерному признаку </w:t>
      </w:r>
      <w:r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процентном соотношении</w:t>
      </w:r>
    </w:p>
    <w:p w14:paraId="2E609FF1" w14:textId="0120EE97" w:rsidR="006240D1" w:rsidRDefault="006240D1" w:rsidP="006240D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76DCC21" wp14:editId="043F4A62">
            <wp:extent cx="5247640" cy="2472855"/>
            <wp:effectExtent l="0" t="0" r="10160" b="381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995EB7D0-3C35-475B-B67E-8C004B21953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C419686" w14:textId="664F8D46" w:rsidR="005F63A7" w:rsidRPr="003A5711" w:rsidRDefault="005F63A7" w:rsidP="003C0D72">
      <w:pPr>
        <w:shd w:val="clear" w:color="auto" w:fill="FFFFFF"/>
        <w:spacing w:after="30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популяции</w:t>
      </w:r>
      <w:r w:rsidR="00C76B06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студентов</w:t>
      </w:r>
      <w:r w:rsidR="00C76B06" w:rsidRPr="003A57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0D72" w:rsidRPr="003A5711">
        <w:rPr>
          <w:rFonts w:ascii="Times New Roman" w:hAnsi="Times New Roman" w:cs="Times New Roman"/>
          <w:sz w:val="24"/>
          <w:szCs w:val="24"/>
        </w:rPr>
        <w:t>Старооскольского</w:t>
      </w:r>
      <w:proofErr w:type="spellEnd"/>
      <w:r w:rsidR="003C0D72" w:rsidRPr="003A5711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CB4D16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выявлена высокая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распространенность таких поведенческих и биологических факторов риска ХНИЗ, как </w:t>
      </w:r>
      <w:r w:rsidR="003C0D72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нерациональное питание, низкая физическая активность (гиподинамия), избыточная масса тела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Установлены взаимосвязи между факторами риска </w:t>
      </w:r>
      <w:r w:rsidR="00CB4D16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ХНИЗ метаболическими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параметрами. Таким образом, </w:t>
      </w:r>
      <w:r w:rsidR="00CB4D16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комплексного</w:t>
      </w:r>
      <w:r w:rsidR="00C76B06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скринингового обследования </w:t>
      </w:r>
      <w:r w:rsidR="00CB4D16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определению</w:t>
      </w:r>
      <w:r w:rsidR="00C76B06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уровня </w:t>
      </w:r>
      <w:r w:rsidR="00CB4D16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распространенности ФР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ХНИЗ позволяет выделить группу риска студентов по раннему возникновению сердечно-сосудистых заболеваний.</w:t>
      </w:r>
    </w:p>
    <w:p w14:paraId="2A6B8030" w14:textId="77777777" w:rsidR="003A5711" w:rsidRDefault="003A5711" w:rsidP="003A5711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11E6EE26" w14:textId="77777777" w:rsidR="003A5711" w:rsidRDefault="003A5711" w:rsidP="003A5711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49123380" w14:textId="792169DB" w:rsidR="006351A1" w:rsidRPr="003A5711" w:rsidRDefault="005F63A7" w:rsidP="003A5711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Выводы</w:t>
      </w:r>
      <w:r w:rsidR="00C76B06" w:rsidRPr="003A571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14:paraId="1D863E75" w14:textId="2A927CD5" w:rsidR="00CE5FD1" w:rsidRPr="003A5711" w:rsidRDefault="00C76B06" w:rsidP="003A5711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5FD1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Здоровье является бесценным достоянием и индивида, и всего общества в целом. В последние годы наблюдается отчётливая тенденция к увеличению распространения </w:t>
      </w:r>
      <w:proofErr w:type="spellStart"/>
      <w:r w:rsidR="00CE5FD1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табако</w:t>
      </w:r>
      <w:proofErr w:type="spellEnd"/>
      <w:r w:rsidR="00CE5FD1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-курения среди молодёжи и более раннему началу регулярного употребления табака. В российском обществе происходит усиление профилактической работы по предупреждению алкоголизма, табакокурения, наркомании, токсикомании; формирование у различных групп населения, особенно у подрастающего поколения, мотивации для ведения здорового образа жизни является одним из основных положений Концепции демографической политики в период до 2025 года.</w:t>
      </w:r>
    </w:p>
    <w:p w14:paraId="4216DA85" w14:textId="77777777" w:rsidR="00CE5FD1" w:rsidRPr="003A5711" w:rsidRDefault="00CE5FD1" w:rsidP="003A5711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Наряду с работой по повышению имиджа здорового образа жизни среди молодежи, формирования стиля поведения молодого поколения, направленного на сохранение и укрепление собственного здоровья и здоровья нации в целом.</w:t>
      </w:r>
    </w:p>
    <w:p w14:paraId="01C9F181" w14:textId="77777777" w:rsidR="00CE5FD1" w:rsidRPr="003A5711" w:rsidRDefault="00CE5FD1" w:rsidP="003A5711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 нашей молодёжи во многом зависит от образа жизни, в частности от привычек. Полезные привычки помогают формированию гармонически развитой личности, а вредные тормозят ее становление.</w:t>
      </w:r>
    </w:p>
    <w:p w14:paraId="17B73D8B" w14:textId="77777777" w:rsidR="00094EE2" w:rsidRPr="003A5711" w:rsidRDefault="00CE5FD1" w:rsidP="003A5711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государством стоит задача: воспитать достойное здоровое поколение. Формирование ЗОЖ является задаче не только государственной, но и социальной, поскольку отсутствие полезных привычек сказывается на интеллектуальной деятельности и процессу социализации молодежи. При этом также необходимо отметить проблему ложного представления у молодежи о ЗОЖ: многие уверены, что занятия спортом совместно с употреблением в дальнейшем алкоголя и никотиновой продукции является непосредственными составляющими ЗОЖ</w:t>
      </w:r>
    </w:p>
    <w:p w14:paraId="2AB353CE" w14:textId="77777777" w:rsidR="000517B5" w:rsidRPr="003A5711" w:rsidRDefault="000517B5" w:rsidP="003A5711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последние годы представление у молодежи о здоровом образе жизни стали более правильными, молодежь к аспектам ЗОЖ относит правильный режим дня и отсутствие стресса.</w:t>
      </w:r>
    </w:p>
    <w:p w14:paraId="3CA2D2F0" w14:textId="1996A3EC" w:rsidR="000517B5" w:rsidRPr="003A5711" w:rsidRDefault="000517B5" w:rsidP="003A5711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Студенты подвержены воздействию негативных факторов сильнее, чем другие социальные группы, поэтому понять важность и приступить к ведению здорового образа жизни им намного тяжелее. Так </w:t>
      </w:r>
      <w:r w:rsidR="00DF28A7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же, студенты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выпускники считают занятия спортом и правильное питание неотъемлемой частью здорового образа жизни, однако в силу трудности учебных нагрузок отрегулировать режим сна и избегать стрессов становится практически невозможно, поэтому и формирование здорового образа жизни проходит в негативном ключе.</w:t>
      </w:r>
    </w:p>
    <w:p w14:paraId="4D831781" w14:textId="77777777" w:rsidR="000517B5" w:rsidRPr="003A5711" w:rsidRDefault="000517B5" w:rsidP="003A5711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целом, так или иначе, какие-либо составляющие здорового образа жизни представители молодежи применяют, однако ЗОЖ – это стиль жизни, а не просто диета или занятие спортом. Вести такой образ жизни молодежь не способна, что обусловлено сложной обстановкой в обществе. Однако, картина не так печальна: в последние годы молодежь все больше становится увлечена спортом, правильным питанием и восстановлением нервной системы.</w:t>
      </w:r>
    </w:p>
    <w:p w14:paraId="3929934B" w14:textId="646BA64E" w:rsidR="000517B5" w:rsidRPr="003A5711" w:rsidRDefault="000517B5" w:rsidP="003A5711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Таким образом</w:t>
      </w:r>
      <w:r w:rsidR="00D3245A"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A5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существующая система образования должна быть комплексной и учитывать биологические, психофизические, экономические, экологические факторы, а также социальные условия, влияющие на здоровье студенческой молодёжи.</w:t>
      </w:r>
    </w:p>
    <w:p w14:paraId="637E1AEC" w14:textId="77777777" w:rsidR="003A5711" w:rsidRDefault="003A5711" w:rsidP="00B71D62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b/>
          <w:i/>
        </w:rPr>
      </w:pPr>
    </w:p>
    <w:p w14:paraId="429D6BB6" w14:textId="77777777" w:rsidR="003A5711" w:rsidRDefault="003A5711" w:rsidP="00B71D62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b/>
          <w:i/>
        </w:rPr>
      </w:pPr>
    </w:p>
    <w:p w14:paraId="466FE044" w14:textId="77777777" w:rsidR="003A5711" w:rsidRDefault="003A5711" w:rsidP="00B71D62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b/>
          <w:i/>
        </w:rPr>
      </w:pPr>
    </w:p>
    <w:p w14:paraId="6F7B5E8B" w14:textId="77777777" w:rsidR="003A5711" w:rsidRDefault="003A5711" w:rsidP="00B71D62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b/>
          <w:i/>
        </w:rPr>
      </w:pPr>
    </w:p>
    <w:p w14:paraId="378BD50A" w14:textId="77777777" w:rsidR="003A5711" w:rsidRDefault="003A5711" w:rsidP="00B71D62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b/>
          <w:i/>
        </w:rPr>
      </w:pPr>
    </w:p>
    <w:p w14:paraId="509CF369" w14:textId="77777777" w:rsidR="003A5711" w:rsidRDefault="003A5711" w:rsidP="00B71D62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b/>
          <w:i/>
        </w:rPr>
      </w:pPr>
    </w:p>
    <w:p w14:paraId="2D916727" w14:textId="0A789FF3" w:rsidR="00CB4D16" w:rsidRDefault="00B71D62" w:rsidP="00B71D62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b/>
          <w:i/>
        </w:rPr>
      </w:pPr>
      <w:r w:rsidRPr="00CB4D16">
        <w:rPr>
          <w:rFonts w:ascii="Times New Roman" w:hAnsi="Times New Roman" w:cs="Times New Roman"/>
          <w:b/>
          <w:i/>
        </w:rPr>
        <w:t xml:space="preserve">ОГБУЗ «Центр общественного здоровья и медицинской профилактики </w:t>
      </w:r>
    </w:p>
    <w:p w14:paraId="4C752E94" w14:textId="14EB9A76" w:rsidR="00B71D62" w:rsidRPr="00CB4D16" w:rsidRDefault="00B71D62" w:rsidP="00B71D62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4D16">
        <w:rPr>
          <w:rFonts w:ascii="Times New Roman" w:hAnsi="Times New Roman" w:cs="Times New Roman"/>
          <w:b/>
          <w:i/>
        </w:rPr>
        <w:t>города Старого Оскола»</w:t>
      </w:r>
    </w:p>
    <w:p w14:paraId="2CE69087" w14:textId="24434437" w:rsidR="00CB4D16" w:rsidRDefault="00B71D62" w:rsidP="00B71D6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B4D16">
        <w:rPr>
          <w:rFonts w:ascii="Times New Roman" w:hAnsi="Times New Roman" w:cs="Times New Roman"/>
          <w:b/>
          <w:i/>
        </w:rPr>
        <w:t xml:space="preserve">                                       Зав. отд.  мониторинга факторов риска </w:t>
      </w:r>
    </w:p>
    <w:p w14:paraId="4688D13C" w14:textId="3E2F052E" w:rsidR="00B71D62" w:rsidRPr="00CB4D16" w:rsidRDefault="00B71D62" w:rsidP="00B71D6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B4D16">
        <w:rPr>
          <w:rFonts w:ascii="Times New Roman" w:hAnsi="Times New Roman" w:cs="Times New Roman"/>
          <w:b/>
          <w:i/>
        </w:rPr>
        <w:t xml:space="preserve">врач - терапевт </w:t>
      </w:r>
      <w:proofErr w:type="spellStart"/>
      <w:r w:rsidRPr="00CB4D16">
        <w:rPr>
          <w:rFonts w:ascii="Times New Roman" w:hAnsi="Times New Roman" w:cs="Times New Roman"/>
          <w:b/>
          <w:i/>
        </w:rPr>
        <w:t>Л.А.Смольникова</w:t>
      </w:r>
      <w:proofErr w:type="spellEnd"/>
    </w:p>
    <w:p w14:paraId="09CFD31A" w14:textId="1D79117D" w:rsidR="00B71D62" w:rsidRPr="00CB4D16" w:rsidRDefault="00B71D62" w:rsidP="00B71D6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B4D16">
        <w:rPr>
          <w:rFonts w:ascii="Times New Roman" w:hAnsi="Times New Roman" w:cs="Times New Roman"/>
          <w:b/>
          <w:i/>
        </w:rPr>
        <w:t xml:space="preserve">Медицинский </w:t>
      </w:r>
      <w:r w:rsidR="00CB4D16" w:rsidRPr="00CB4D16">
        <w:rPr>
          <w:rFonts w:ascii="Times New Roman" w:hAnsi="Times New Roman" w:cs="Times New Roman"/>
          <w:b/>
          <w:i/>
        </w:rPr>
        <w:t xml:space="preserve">статистик </w:t>
      </w:r>
      <w:proofErr w:type="spellStart"/>
      <w:r w:rsidR="00CB4D16" w:rsidRPr="00CB4D16">
        <w:rPr>
          <w:rFonts w:ascii="Times New Roman" w:hAnsi="Times New Roman" w:cs="Times New Roman"/>
          <w:b/>
          <w:i/>
        </w:rPr>
        <w:t>Н.А.Мартынова</w:t>
      </w:r>
      <w:proofErr w:type="spellEnd"/>
      <w:r w:rsidRPr="00CB4D16">
        <w:rPr>
          <w:rFonts w:ascii="Times New Roman" w:hAnsi="Times New Roman" w:cs="Times New Roman"/>
          <w:b/>
          <w:i/>
        </w:rPr>
        <w:t xml:space="preserve"> </w:t>
      </w:r>
    </w:p>
    <w:p w14:paraId="356BAAEF" w14:textId="634AD762" w:rsidR="00CD457A" w:rsidRPr="004F0197" w:rsidRDefault="00B71D62" w:rsidP="003A5711">
      <w:pPr>
        <w:rPr>
          <w:rFonts w:ascii="Times New Roman" w:hAnsi="Times New Roman" w:cs="Times New Roman"/>
          <w:sz w:val="24"/>
          <w:szCs w:val="24"/>
        </w:rPr>
      </w:pPr>
      <w:r w:rsidRPr="00CB4D16">
        <w:rPr>
          <w:b/>
        </w:rPr>
        <w:t xml:space="preserve"> </w:t>
      </w:r>
    </w:p>
    <w:sectPr w:rsidR="00CD457A" w:rsidRPr="004F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766CA"/>
    <w:multiLevelType w:val="hybridMultilevel"/>
    <w:tmpl w:val="4C2A4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C6"/>
    <w:rsid w:val="00011BDA"/>
    <w:rsid w:val="000517B5"/>
    <w:rsid w:val="00070922"/>
    <w:rsid w:val="00094EE2"/>
    <w:rsid w:val="001150DA"/>
    <w:rsid w:val="0013687B"/>
    <w:rsid w:val="001A326F"/>
    <w:rsid w:val="002137DA"/>
    <w:rsid w:val="00222D19"/>
    <w:rsid w:val="0024651E"/>
    <w:rsid w:val="002A5A29"/>
    <w:rsid w:val="002C1AA2"/>
    <w:rsid w:val="003804C0"/>
    <w:rsid w:val="003837DF"/>
    <w:rsid w:val="003A5711"/>
    <w:rsid w:val="003B43BD"/>
    <w:rsid w:val="003C0520"/>
    <w:rsid w:val="003C0D72"/>
    <w:rsid w:val="003E1DE8"/>
    <w:rsid w:val="004C0899"/>
    <w:rsid w:val="004F0197"/>
    <w:rsid w:val="00502067"/>
    <w:rsid w:val="005256E6"/>
    <w:rsid w:val="005F63A7"/>
    <w:rsid w:val="006240D1"/>
    <w:rsid w:val="006351A1"/>
    <w:rsid w:val="007228A8"/>
    <w:rsid w:val="007762B9"/>
    <w:rsid w:val="00817D13"/>
    <w:rsid w:val="00845C22"/>
    <w:rsid w:val="00882EB1"/>
    <w:rsid w:val="008875C6"/>
    <w:rsid w:val="008A728B"/>
    <w:rsid w:val="008E7E13"/>
    <w:rsid w:val="0094345F"/>
    <w:rsid w:val="0098704F"/>
    <w:rsid w:val="009E5B7A"/>
    <w:rsid w:val="00A66F04"/>
    <w:rsid w:val="00AC64B7"/>
    <w:rsid w:val="00AF2CD1"/>
    <w:rsid w:val="00B71D62"/>
    <w:rsid w:val="00B95762"/>
    <w:rsid w:val="00BA16AF"/>
    <w:rsid w:val="00BB036E"/>
    <w:rsid w:val="00C37DA1"/>
    <w:rsid w:val="00C5090F"/>
    <w:rsid w:val="00C76B06"/>
    <w:rsid w:val="00CA1876"/>
    <w:rsid w:val="00CB4D16"/>
    <w:rsid w:val="00CD457A"/>
    <w:rsid w:val="00CE5FD1"/>
    <w:rsid w:val="00D3245A"/>
    <w:rsid w:val="00D36F1C"/>
    <w:rsid w:val="00D72A9C"/>
    <w:rsid w:val="00DA7CEE"/>
    <w:rsid w:val="00DB2C8A"/>
    <w:rsid w:val="00DF1A8B"/>
    <w:rsid w:val="00DF28A7"/>
    <w:rsid w:val="00E27207"/>
    <w:rsid w:val="00F2367B"/>
    <w:rsid w:val="00FA2967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27DD"/>
  <w15:chartTrackingRefBased/>
  <w15:docId w15:val="{52078321-2D14-4E83-B181-456EEE8C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3A7"/>
    <w:rPr>
      <w:b/>
      <w:bCs/>
    </w:rPr>
  </w:style>
  <w:style w:type="paragraph" w:styleId="a5">
    <w:name w:val="List Paragraph"/>
    <w:basedOn w:val="a"/>
    <w:uiPriority w:val="34"/>
    <w:qFormat/>
    <w:rsid w:val="002A5A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BB03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Лист4!$D$36:$D$44</c:f>
              <c:strCache>
                <c:ptCount val="9"/>
                <c:pt idx="0">
                  <c:v>Нерациональное питание</c:v>
                </c:pt>
                <c:pt idx="1">
                  <c:v>Гиподинамия</c:v>
                </c:pt>
                <c:pt idx="2">
                  <c:v>Избыточная масса тела</c:v>
                </c:pt>
                <c:pt idx="3">
                  <c:v>Гиперхолестеринемия</c:v>
                </c:pt>
                <c:pt idx="4">
                  <c:v>Ожирение</c:v>
                </c:pt>
                <c:pt idx="5">
                  <c:v>Курение</c:v>
                </c:pt>
                <c:pt idx="6">
                  <c:v>Глюкоза</c:v>
                </c:pt>
                <c:pt idx="7">
                  <c:v>Алкоголь</c:v>
                </c:pt>
                <c:pt idx="8">
                  <c:v>Риск развития артериальной гипертензии</c:v>
                </c:pt>
              </c:strCache>
            </c:strRef>
          </c:cat>
          <c:val>
            <c:numRef>
              <c:f>Лист4!$J$36:$J$44</c:f>
              <c:numCache>
                <c:formatCode>General</c:formatCode>
                <c:ptCount val="9"/>
                <c:pt idx="0">
                  <c:v>67.400000000000006</c:v>
                </c:pt>
                <c:pt idx="1">
                  <c:v>54.3</c:v>
                </c:pt>
                <c:pt idx="2">
                  <c:v>31.3</c:v>
                </c:pt>
                <c:pt idx="3">
                  <c:v>18.899999999999999</c:v>
                </c:pt>
                <c:pt idx="4">
                  <c:v>17.2</c:v>
                </c:pt>
                <c:pt idx="5">
                  <c:v>16.399999999999999</c:v>
                </c:pt>
                <c:pt idx="6">
                  <c:v>9.6999999999999993</c:v>
                </c:pt>
                <c:pt idx="7">
                  <c:v>9.1999999999999993</c:v>
                </c:pt>
                <c:pt idx="8">
                  <c:v>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B4-4D75-8611-5D3A3C7DD8A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83825888"/>
        <c:axId val="1405212080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Лист4!$D$36:$D$44</c15:sqref>
                        </c15:formulaRef>
                      </c:ext>
                    </c:extLst>
                    <c:strCache>
                      <c:ptCount val="9"/>
                      <c:pt idx="0">
                        <c:v>Нерациональное питание</c:v>
                      </c:pt>
                      <c:pt idx="1">
                        <c:v>Гиподинамия</c:v>
                      </c:pt>
                      <c:pt idx="2">
                        <c:v>Избыточная масса тела</c:v>
                      </c:pt>
                      <c:pt idx="3">
                        <c:v>Гиперхолестеринемия</c:v>
                      </c:pt>
                      <c:pt idx="4">
                        <c:v>Ожирение</c:v>
                      </c:pt>
                      <c:pt idx="5">
                        <c:v>Курение</c:v>
                      </c:pt>
                      <c:pt idx="6">
                        <c:v>Глюкоза</c:v>
                      </c:pt>
                      <c:pt idx="7">
                        <c:v>Алкоголь</c:v>
                      </c:pt>
                      <c:pt idx="8">
                        <c:v>Риск развития артериальной гипертензии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Лист4!$E$36:$E$44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F4B4-4D75-8611-5D3A3C7DD8A4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Лист4!$D$36:$D$44</c15:sqref>
                        </c15:formulaRef>
                      </c:ext>
                    </c:extLst>
                    <c:strCache>
                      <c:ptCount val="9"/>
                      <c:pt idx="0">
                        <c:v>Нерациональное питание</c:v>
                      </c:pt>
                      <c:pt idx="1">
                        <c:v>Гиподинамия</c:v>
                      </c:pt>
                      <c:pt idx="2">
                        <c:v>Избыточная масса тела</c:v>
                      </c:pt>
                      <c:pt idx="3">
                        <c:v>Гиперхолестеринемия</c:v>
                      </c:pt>
                      <c:pt idx="4">
                        <c:v>Ожирение</c:v>
                      </c:pt>
                      <c:pt idx="5">
                        <c:v>Курение</c:v>
                      </c:pt>
                      <c:pt idx="6">
                        <c:v>Глюкоза</c:v>
                      </c:pt>
                      <c:pt idx="7">
                        <c:v>Алкоголь</c:v>
                      </c:pt>
                      <c:pt idx="8">
                        <c:v>Риск развития артериальной гипертензии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Лист4!$F$36:$F$44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F4B4-4D75-8611-5D3A3C7DD8A4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Лист4!$D$36:$D$44</c15:sqref>
                        </c15:formulaRef>
                      </c:ext>
                    </c:extLst>
                    <c:strCache>
                      <c:ptCount val="9"/>
                      <c:pt idx="0">
                        <c:v>Нерациональное питание</c:v>
                      </c:pt>
                      <c:pt idx="1">
                        <c:v>Гиподинамия</c:v>
                      </c:pt>
                      <c:pt idx="2">
                        <c:v>Избыточная масса тела</c:v>
                      </c:pt>
                      <c:pt idx="3">
                        <c:v>Гиперхолестеринемия</c:v>
                      </c:pt>
                      <c:pt idx="4">
                        <c:v>Ожирение</c:v>
                      </c:pt>
                      <c:pt idx="5">
                        <c:v>Курение</c:v>
                      </c:pt>
                      <c:pt idx="6">
                        <c:v>Глюкоза</c:v>
                      </c:pt>
                      <c:pt idx="7">
                        <c:v>Алкоголь</c:v>
                      </c:pt>
                      <c:pt idx="8">
                        <c:v>Риск развития артериальной гипертензии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Лист4!$G$36:$G$44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3-F4B4-4D75-8611-5D3A3C7DD8A4}"/>
                  </c:ext>
                </c:extLst>
              </c15:ser>
            </c15:filteredBarSeries>
            <c15:filteredBarSeries>
              <c15:ser>
                <c:idx val="3"/>
                <c:order val="3"/>
                <c:spPr>
                  <a:solidFill>
                    <a:schemeClr val="accent4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Лист4!$D$36:$D$44</c15:sqref>
                        </c15:formulaRef>
                      </c:ext>
                    </c:extLst>
                    <c:strCache>
                      <c:ptCount val="9"/>
                      <c:pt idx="0">
                        <c:v>Нерациональное питание</c:v>
                      </c:pt>
                      <c:pt idx="1">
                        <c:v>Гиподинамия</c:v>
                      </c:pt>
                      <c:pt idx="2">
                        <c:v>Избыточная масса тела</c:v>
                      </c:pt>
                      <c:pt idx="3">
                        <c:v>Гиперхолестеринемия</c:v>
                      </c:pt>
                      <c:pt idx="4">
                        <c:v>Ожирение</c:v>
                      </c:pt>
                      <c:pt idx="5">
                        <c:v>Курение</c:v>
                      </c:pt>
                      <c:pt idx="6">
                        <c:v>Глюкоза</c:v>
                      </c:pt>
                      <c:pt idx="7">
                        <c:v>Алкоголь</c:v>
                      </c:pt>
                      <c:pt idx="8">
                        <c:v>Риск развития артериальной гипертензии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Лист4!$H$36:$H$44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4-F4B4-4D75-8611-5D3A3C7DD8A4}"/>
                  </c:ext>
                </c:extLst>
              </c15:ser>
            </c15:filteredBarSeries>
            <c15:filteredBarSeries>
              <c15:ser>
                <c:idx val="4"/>
                <c:order val="4"/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in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Лист4!$D$36:$D$44</c15:sqref>
                        </c15:formulaRef>
                      </c:ext>
                    </c:extLst>
                    <c:strCache>
                      <c:ptCount val="9"/>
                      <c:pt idx="0">
                        <c:v>Нерациональное питание</c:v>
                      </c:pt>
                      <c:pt idx="1">
                        <c:v>Гиподинамия</c:v>
                      </c:pt>
                      <c:pt idx="2">
                        <c:v>Избыточная масса тела</c:v>
                      </c:pt>
                      <c:pt idx="3">
                        <c:v>Гиперхолестеринемия</c:v>
                      </c:pt>
                      <c:pt idx="4">
                        <c:v>Ожирение</c:v>
                      </c:pt>
                      <c:pt idx="5">
                        <c:v>Курение</c:v>
                      </c:pt>
                      <c:pt idx="6">
                        <c:v>Глюкоза</c:v>
                      </c:pt>
                      <c:pt idx="7">
                        <c:v>Алкоголь</c:v>
                      </c:pt>
                      <c:pt idx="8">
                        <c:v>Риск развития артериальной гипертензии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Лист4!$I$36:$I$44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F4B4-4D75-8611-5D3A3C7DD8A4}"/>
                  </c:ext>
                </c:extLst>
              </c15:ser>
            </c15:filteredBarSeries>
          </c:ext>
        </c:extLst>
      </c:barChart>
      <c:catAx>
        <c:axId val="1383825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5212080"/>
        <c:crosses val="autoZero"/>
        <c:auto val="1"/>
        <c:lblAlgn val="ctr"/>
        <c:lblOffset val="100"/>
        <c:noMultiLvlLbl val="0"/>
      </c:catAx>
      <c:valAx>
        <c:axId val="140521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3825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Лист4!$I$82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5"/>
              <c:layout>
                <c:manualLayout>
                  <c:x val="2.3912003825920613E-3"/>
                  <c:y val="6.341656757827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154-4A73-9D13-304F91A0457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Лист4!$C$83:$H$92</c:f>
              <c:strCache>
                <c:ptCount val="9"/>
                <c:pt idx="0">
                  <c:v>Нерациональное питание</c:v>
                </c:pt>
                <c:pt idx="1">
                  <c:v>Гиподинамия</c:v>
                </c:pt>
                <c:pt idx="2">
                  <c:v>Избыточная масса тела</c:v>
                </c:pt>
                <c:pt idx="3">
                  <c:v>Гиперхолестеринемия</c:v>
                </c:pt>
                <c:pt idx="4">
                  <c:v>Ожирение</c:v>
                </c:pt>
                <c:pt idx="5">
                  <c:v>Курение</c:v>
                </c:pt>
                <c:pt idx="6">
                  <c:v>Глюкоза</c:v>
                </c:pt>
                <c:pt idx="7">
                  <c:v>Алкоголь</c:v>
                </c:pt>
                <c:pt idx="8">
                  <c:v>Риск развития артериальной гипертензии</c:v>
                </c:pt>
              </c:strCache>
            </c:strRef>
          </c:cat>
          <c:val>
            <c:numRef>
              <c:f>Лист4!$I$83:$I$92</c:f>
              <c:numCache>
                <c:formatCode>General</c:formatCode>
                <c:ptCount val="10"/>
                <c:pt idx="0">
                  <c:v>22.7</c:v>
                </c:pt>
                <c:pt idx="1">
                  <c:v>18.8</c:v>
                </c:pt>
                <c:pt idx="2">
                  <c:v>10.1</c:v>
                </c:pt>
                <c:pt idx="3">
                  <c:v>9.9</c:v>
                </c:pt>
                <c:pt idx="4">
                  <c:v>7</c:v>
                </c:pt>
                <c:pt idx="5">
                  <c:v>12.4</c:v>
                </c:pt>
                <c:pt idx="6">
                  <c:v>4.0999999999999996</c:v>
                </c:pt>
                <c:pt idx="7">
                  <c:v>7.3</c:v>
                </c:pt>
                <c:pt idx="8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54-4A73-9D13-304F91A04573}"/>
            </c:ext>
          </c:extLst>
        </c:ser>
        <c:ser>
          <c:idx val="1"/>
          <c:order val="1"/>
          <c:tx>
            <c:strRef>
              <c:f>Лист4!$J$82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Лист4!$C$83:$H$92</c:f>
              <c:strCache>
                <c:ptCount val="9"/>
                <c:pt idx="0">
                  <c:v>Нерациональное питание</c:v>
                </c:pt>
                <c:pt idx="1">
                  <c:v>Гиподинамия</c:v>
                </c:pt>
                <c:pt idx="2">
                  <c:v>Избыточная масса тела</c:v>
                </c:pt>
                <c:pt idx="3">
                  <c:v>Гиперхолестеринемия</c:v>
                </c:pt>
                <c:pt idx="4">
                  <c:v>Ожирение</c:v>
                </c:pt>
                <c:pt idx="5">
                  <c:v>Курение</c:v>
                </c:pt>
                <c:pt idx="6">
                  <c:v>Глюкоза</c:v>
                </c:pt>
                <c:pt idx="7">
                  <c:v>Алкоголь</c:v>
                </c:pt>
                <c:pt idx="8">
                  <c:v>Риск развития артериальной гипертензии</c:v>
                </c:pt>
              </c:strCache>
            </c:strRef>
          </c:cat>
          <c:val>
            <c:numRef>
              <c:f>Лист4!$J$83:$J$92</c:f>
              <c:numCache>
                <c:formatCode>General</c:formatCode>
                <c:ptCount val="10"/>
                <c:pt idx="0">
                  <c:v>44.6</c:v>
                </c:pt>
                <c:pt idx="1">
                  <c:v>35.299999999999997</c:v>
                </c:pt>
                <c:pt idx="2">
                  <c:v>21.1</c:v>
                </c:pt>
                <c:pt idx="3">
                  <c:v>8.9</c:v>
                </c:pt>
                <c:pt idx="4">
                  <c:v>10.1</c:v>
                </c:pt>
                <c:pt idx="5">
                  <c:v>3.9</c:v>
                </c:pt>
                <c:pt idx="6">
                  <c:v>5.6</c:v>
                </c:pt>
                <c:pt idx="7">
                  <c:v>1.9</c:v>
                </c:pt>
                <c:pt idx="8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54-4A73-9D13-304F91A045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38096288"/>
        <c:axId val="1405220400"/>
        <c:axId val="1225240304"/>
      </c:bar3DChart>
      <c:catAx>
        <c:axId val="1438096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5220400"/>
        <c:crosses val="autoZero"/>
        <c:auto val="1"/>
        <c:lblAlgn val="ctr"/>
        <c:lblOffset val="100"/>
        <c:noMultiLvlLbl val="0"/>
      </c:catAx>
      <c:valAx>
        <c:axId val="1405220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8096288"/>
        <c:crosses val="autoZero"/>
        <c:crossBetween val="between"/>
      </c:valAx>
      <c:serAx>
        <c:axId val="1225240304"/>
        <c:scaling>
          <c:orientation val="minMax"/>
        </c:scaling>
        <c:delete val="1"/>
        <c:axPos val="b"/>
        <c:majorTickMark val="none"/>
        <c:minorTickMark val="none"/>
        <c:tickLblPos val="nextTo"/>
        <c:crossAx val="1405220400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8AC4E-EAE3-4138-9224-CB12887C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NatashaCMP</cp:lastModifiedBy>
  <cp:revision>32</cp:revision>
  <dcterms:created xsi:type="dcterms:W3CDTF">2023-03-16T05:19:00Z</dcterms:created>
  <dcterms:modified xsi:type="dcterms:W3CDTF">2023-09-18T10:33:00Z</dcterms:modified>
</cp:coreProperties>
</file>