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735ECE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Графический обзор </w:t>
      </w:r>
      <w:r w:rsidR="00AD122D" w:rsidRPr="006A4212">
        <w:rPr>
          <w:rFonts w:ascii="Times New Roman" w:hAnsi="Times New Roman" w:cs="Times New Roman"/>
          <w:b/>
        </w:rPr>
        <w:t xml:space="preserve"> лиц</w:t>
      </w:r>
      <w:r w:rsidR="00EC274D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 xml:space="preserve">за </w:t>
      </w:r>
      <w:r w:rsidR="00713AD4">
        <w:rPr>
          <w:rFonts w:ascii="Times New Roman" w:hAnsi="Times New Roman" w:cs="Times New Roman"/>
          <w:b/>
        </w:rPr>
        <w:t>2</w:t>
      </w:r>
      <w:r w:rsidR="00AD122D" w:rsidRPr="006A4212">
        <w:rPr>
          <w:rFonts w:ascii="Times New Roman" w:hAnsi="Times New Roman" w:cs="Times New Roman"/>
          <w:b/>
        </w:rPr>
        <w:t xml:space="preserve"> </w:t>
      </w:r>
      <w:r w:rsidR="003D37E2" w:rsidRPr="006A4212">
        <w:rPr>
          <w:rFonts w:ascii="Times New Roman" w:hAnsi="Times New Roman" w:cs="Times New Roman"/>
          <w:b/>
        </w:rPr>
        <w:t>квартал</w:t>
      </w:r>
      <w:r w:rsidR="00AD122D"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</w:t>
      </w:r>
      <w:r w:rsidR="00856D0D">
        <w:rPr>
          <w:rFonts w:ascii="Times New Roman" w:hAnsi="Times New Roman" w:cs="Times New Roman"/>
          <w:b/>
        </w:rPr>
        <w:t>1</w:t>
      </w:r>
      <w:r w:rsidR="00AD122D"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ОГБУЗ «Центр </w:t>
      </w:r>
      <w:r w:rsidR="000C7D66">
        <w:rPr>
          <w:rFonts w:ascii="Times New Roman" w:hAnsi="Times New Roman" w:cs="Times New Roman"/>
        </w:rPr>
        <w:t xml:space="preserve">общественного здоровья и </w:t>
      </w:r>
      <w:r w:rsidRPr="006A4212">
        <w:rPr>
          <w:rFonts w:ascii="Times New Roman" w:hAnsi="Times New Roman" w:cs="Times New Roman"/>
        </w:rPr>
        <w:t>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Pr="0029720C" w:rsidRDefault="00AD122D" w:rsidP="002972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720C">
        <w:rPr>
          <w:rFonts w:ascii="Times New Roman" w:hAnsi="Times New Roman" w:cs="Times New Roman"/>
        </w:rPr>
        <w:t xml:space="preserve">Всего обследовано </w:t>
      </w:r>
      <w:r w:rsidR="0029720C">
        <w:rPr>
          <w:rFonts w:ascii="Times New Roman" w:hAnsi="Times New Roman" w:cs="Times New Roman"/>
        </w:rPr>
        <w:t>2134</w:t>
      </w:r>
      <w:r w:rsidR="00856D0D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человек</w:t>
      </w:r>
      <w:r w:rsidR="00856D0D" w:rsidRPr="0029720C">
        <w:rPr>
          <w:rFonts w:ascii="Times New Roman" w:hAnsi="Times New Roman" w:cs="Times New Roman"/>
        </w:rPr>
        <w:t>. Из них</w:t>
      </w:r>
      <w:r w:rsidR="003D37E2" w:rsidRPr="0029720C">
        <w:rPr>
          <w:rFonts w:ascii="Times New Roman" w:hAnsi="Times New Roman" w:cs="Times New Roman"/>
        </w:rPr>
        <w:t>: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>муж</w:t>
      </w:r>
      <w:r w:rsidR="009B21E7" w:rsidRPr="0029720C">
        <w:rPr>
          <w:rFonts w:ascii="Times New Roman" w:hAnsi="Times New Roman" w:cs="Times New Roman"/>
        </w:rPr>
        <w:t>чин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29720C">
        <w:rPr>
          <w:rFonts w:ascii="Times New Roman" w:hAnsi="Times New Roman" w:cs="Times New Roman"/>
        </w:rPr>
        <w:t>1080</w:t>
      </w:r>
      <w:r w:rsidR="003D37E2" w:rsidRPr="0029720C">
        <w:rPr>
          <w:rFonts w:ascii="Times New Roman" w:hAnsi="Times New Roman" w:cs="Times New Roman"/>
        </w:rPr>
        <w:t xml:space="preserve">, 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жен</w:t>
      </w:r>
      <w:r w:rsidR="009B21E7" w:rsidRPr="0029720C">
        <w:rPr>
          <w:rFonts w:ascii="Times New Roman" w:hAnsi="Times New Roman" w:cs="Times New Roman"/>
        </w:rPr>
        <w:t>щин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29720C">
        <w:rPr>
          <w:rFonts w:ascii="Times New Roman" w:hAnsi="Times New Roman" w:cs="Times New Roman"/>
        </w:rPr>
        <w:t>1054</w:t>
      </w:r>
      <w:r w:rsidR="003D37E2" w:rsidRPr="0029720C">
        <w:rPr>
          <w:rFonts w:ascii="Times New Roman" w:hAnsi="Times New Roman" w:cs="Times New Roman"/>
        </w:rPr>
        <w:t>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Pr="006A4212" w:rsidRDefault="009B21E7" w:rsidP="00C73067">
      <w:pPr>
        <w:spacing w:after="0"/>
        <w:jc w:val="center"/>
        <w:rPr>
          <w:rFonts w:ascii="Times New Roman" w:eastAsia="Times New Roman" w:hAnsi="Times New Roman"/>
          <w:i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846B89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3A340A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A340A">
        <w:rPr>
          <w:rFonts w:ascii="Times New Roman" w:hAnsi="Times New Roman" w:cs="Times New Roman"/>
        </w:rPr>
        <w:drawing>
          <wp:inline distT="0" distB="0" distL="0" distR="0">
            <wp:extent cx="4815595" cy="2126273"/>
            <wp:effectExtent l="38100" t="19050" r="23105" b="732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6C3DBB" w:rsidRDefault="00C73067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067">
        <w:rPr>
          <w:rFonts w:ascii="Times New Roman" w:hAnsi="Times New Roman" w:cs="Times New Roman"/>
          <w:b/>
        </w:rPr>
        <w:drawing>
          <wp:inline distT="0" distB="0" distL="0" distR="0">
            <wp:extent cx="4607756" cy="2249365"/>
            <wp:effectExtent l="38100" t="19050" r="21394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7D66" w:rsidRDefault="000C7D66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846B89" w:rsidRDefault="007E1434" w:rsidP="00C7306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846B89" w:rsidRDefault="00C73067" w:rsidP="00AD4E13">
      <w:pPr>
        <w:tabs>
          <w:tab w:val="left" w:pos="6015"/>
        </w:tabs>
        <w:spacing w:after="0"/>
        <w:jc w:val="center"/>
      </w:pPr>
      <w:r w:rsidRPr="00C73067">
        <w:drawing>
          <wp:inline distT="0" distB="0" distL="0" distR="0">
            <wp:extent cx="4702419" cy="2145323"/>
            <wp:effectExtent l="38100" t="19050" r="21981" b="7327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067" w:rsidRDefault="00403B05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73067" w:rsidRDefault="00C73067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</w:p>
    <w:p w:rsidR="00AD4E13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ОГБУЗ «Центр </w:t>
      </w:r>
      <w:r w:rsidR="000C7D66">
        <w:rPr>
          <w:rFonts w:ascii="Times New Roman" w:hAnsi="Times New Roman" w:cs="Times New Roman"/>
          <w:i/>
          <w:sz w:val="18"/>
          <w:szCs w:val="18"/>
        </w:rPr>
        <w:t xml:space="preserve">общественного здоровья и </w:t>
      </w:r>
      <w:proofErr w:type="gramStart"/>
      <w:r w:rsidRPr="000C7D66">
        <w:rPr>
          <w:rFonts w:ascii="Times New Roman" w:hAnsi="Times New Roman" w:cs="Times New Roman"/>
          <w:i/>
          <w:sz w:val="18"/>
          <w:szCs w:val="18"/>
        </w:rPr>
        <w:t>медицинской</w:t>
      </w:r>
      <w:proofErr w:type="gram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4612F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профилактики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AD4E13" w:rsidRPr="000C7D66">
        <w:rPr>
          <w:rFonts w:ascii="Times New Roman" w:hAnsi="Times New Roman" w:cs="Times New Roman"/>
          <w:i/>
          <w:sz w:val="18"/>
          <w:szCs w:val="18"/>
        </w:rPr>
        <w:t>г</w:t>
      </w:r>
      <w:proofErr w:type="gramEnd"/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Стар</w:t>
      </w:r>
      <w:r w:rsidR="00D86C04" w:rsidRPr="000C7D66">
        <w:rPr>
          <w:rFonts w:ascii="Times New Roman" w:hAnsi="Times New Roman" w:cs="Times New Roman"/>
          <w:i/>
          <w:sz w:val="18"/>
          <w:szCs w:val="18"/>
        </w:rPr>
        <w:t>ый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0C7D66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Зав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отделом мониторинга здоровья врач-терапевт </w:t>
      </w:r>
      <w:proofErr w:type="spellStart"/>
      <w:r w:rsidRPr="000C7D66">
        <w:rPr>
          <w:rFonts w:ascii="Times New Roman" w:hAnsi="Times New Roman" w:cs="Times New Roman"/>
          <w:i/>
          <w:sz w:val="18"/>
          <w:szCs w:val="18"/>
        </w:rPr>
        <w:t>Смольникова</w:t>
      </w:r>
      <w:proofErr w:type="spell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Л.А.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46B89" w:rsidRPr="00403B05" w:rsidRDefault="00AD4E13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Медицинский статистик  отдела 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мониторинга здоровья </w:t>
      </w:r>
      <w:r w:rsidR="009B21E7" w:rsidRPr="000C7D66">
        <w:rPr>
          <w:rFonts w:ascii="Times New Roman" w:hAnsi="Times New Roman" w:cs="Times New Roman"/>
          <w:i/>
          <w:sz w:val="18"/>
          <w:szCs w:val="18"/>
        </w:rPr>
        <w:t>Н.А.Мартынова</w:t>
      </w:r>
      <w:r w:rsidR="00403B05"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0C7D66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524"/>
    <w:multiLevelType w:val="hybridMultilevel"/>
    <w:tmpl w:val="B4DA8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0C7D66"/>
    <w:rsid w:val="00117240"/>
    <w:rsid w:val="00152808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9720C"/>
    <w:rsid w:val="00297AFA"/>
    <w:rsid w:val="002E0FE5"/>
    <w:rsid w:val="00311850"/>
    <w:rsid w:val="00332386"/>
    <w:rsid w:val="00334678"/>
    <w:rsid w:val="003522C0"/>
    <w:rsid w:val="00386140"/>
    <w:rsid w:val="00393293"/>
    <w:rsid w:val="003A162E"/>
    <w:rsid w:val="003A340A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13AD4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C73067"/>
    <w:rsid w:val="00D244AF"/>
    <w:rsid w:val="00D313D9"/>
    <w:rsid w:val="00D42833"/>
    <w:rsid w:val="00D5506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9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Лист1!$G$6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Лист1!$A$7:$F$16</c:f>
              <c:strCache>
                <c:ptCount val="9"/>
                <c:pt idx="0">
                  <c:v>Высокий уровень ССЗ</c:v>
                </c:pt>
                <c:pt idx="1">
                  <c:v>Дислипедимия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Лист1!$G$7:$G$16</c:f>
              <c:numCache>
                <c:formatCode>General</c:formatCode>
                <c:ptCount val="10"/>
                <c:pt idx="0">
                  <c:v>3.7</c:v>
                </c:pt>
                <c:pt idx="1">
                  <c:v>13.5</c:v>
                </c:pt>
                <c:pt idx="2">
                  <c:v>6</c:v>
                </c:pt>
                <c:pt idx="3">
                  <c:v>38</c:v>
                </c:pt>
                <c:pt idx="4">
                  <c:v>31.3</c:v>
                </c:pt>
                <c:pt idx="5">
                  <c:v>38.5</c:v>
                </c:pt>
                <c:pt idx="6">
                  <c:v>0</c:v>
                </c:pt>
                <c:pt idx="7">
                  <c:v>8.4</c:v>
                </c:pt>
                <c:pt idx="8">
                  <c:v>10.4</c:v>
                </c:pt>
              </c:numCache>
            </c:numRef>
          </c:val>
        </c:ser>
        <c:shape val="cylinder"/>
        <c:axId val="93172864"/>
        <c:axId val="93174784"/>
        <c:axId val="0"/>
      </c:bar3DChart>
      <c:catAx>
        <c:axId val="93172864"/>
        <c:scaling>
          <c:orientation val="minMax"/>
        </c:scaling>
        <c:axPos val="l"/>
        <c:tickLblPos val="nextTo"/>
        <c:crossAx val="93174784"/>
        <c:crosses val="autoZero"/>
        <c:auto val="1"/>
        <c:lblAlgn val="ctr"/>
        <c:lblOffset val="100"/>
      </c:catAx>
      <c:valAx>
        <c:axId val="93174784"/>
        <c:scaling>
          <c:orientation val="minMax"/>
        </c:scaling>
        <c:axPos val="b"/>
        <c:majorGridlines/>
        <c:numFmt formatCode="General" sourceLinked="1"/>
        <c:tickLblPos val="nextTo"/>
        <c:crossAx val="93172864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5658910023608368"/>
          <c:y val="6.6922508334175651E-2"/>
          <c:w val="0.42815534342920669"/>
          <c:h val="0.7806666286624744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Лист1!$G$21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Лист1!$A$22:$F$30</c:f>
              <c:strCache>
                <c:ptCount val="9"/>
                <c:pt idx="0">
                  <c:v>Высокий уровень ССЗ</c:v>
                </c:pt>
                <c:pt idx="1">
                  <c:v>Дислипедимия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Лист1!$G$22:$G$30</c:f>
              <c:numCache>
                <c:formatCode>General</c:formatCode>
                <c:ptCount val="9"/>
                <c:pt idx="0">
                  <c:v>6.6</c:v>
                </c:pt>
                <c:pt idx="1">
                  <c:v>19.5</c:v>
                </c:pt>
                <c:pt idx="2">
                  <c:v>5.8</c:v>
                </c:pt>
                <c:pt idx="3">
                  <c:v>42.3</c:v>
                </c:pt>
                <c:pt idx="4">
                  <c:v>33.700000000000003</c:v>
                </c:pt>
                <c:pt idx="5">
                  <c:v>46</c:v>
                </c:pt>
                <c:pt idx="6">
                  <c:v>0</c:v>
                </c:pt>
                <c:pt idx="7">
                  <c:v>3.3</c:v>
                </c:pt>
                <c:pt idx="8">
                  <c:v>11.2</c:v>
                </c:pt>
              </c:numCache>
            </c:numRef>
          </c:val>
        </c:ser>
        <c:shape val="cylinder"/>
        <c:axId val="94382336"/>
        <c:axId val="95019008"/>
        <c:axId val="0"/>
      </c:bar3DChart>
      <c:catAx>
        <c:axId val="94382336"/>
        <c:scaling>
          <c:orientation val="minMax"/>
        </c:scaling>
        <c:axPos val="l"/>
        <c:tickLblPos val="nextTo"/>
        <c:crossAx val="95019008"/>
        <c:crosses val="autoZero"/>
        <c:auto val="1"/>
        <c:lblAlgn val="ctr"/>
        <c:lblOffset val="100"/>
      </c:catAx>
      <c:valAx>
        <c:axId val="95019008"/>
        <c:scaling>
          <c:orientation val="minMax"/>
        </c:scaling>
        <c:axPos val="b"/>
        <c:majorGridlines/>
        <c:numFmt formatCode="General" sourceLinked="1"/>
        <c:tickLblPos val="nextTo"/>
        <c:crossAx val="94382336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Лист1!$G$33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howVal val="1"/>
          </c:dLbls>
          <c:cat>
            <c:strRef>
              <c:f>Лист1!$A$34:$F$43</c:f>
              <c:strCache>
                <c:ptCount val="9"/>
                <c:pt idx="0">
                  <c:v>Высокий уровень ССЗ</c:v>
                </c:pt>
                <c:pt idx="1">
                  <c:v>Дислипедимия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Лист1!$G$34:$G$43</c:f>
              <c:numCache>
                <c:formatCode>General</c:formatCode>
                <c:ptCount val="10"/>
                <c:pt idx="0">
                  <c:v>0.9</c:v>
                </c:pt>
                <c:pt idx="1">
                  <c:v>7.7</c:v>
                </c:pt>
                <c:pt idx="2">
                  <c:v>6.2</c:v>
                </c:pt>
                <c:pt idx="3">
                  <c:v>34</c:v>
                </c:pt>
                <c:pt idx="4">
                  <c:v>29</c:v>
                </c:pt>
                <c:pt idx="5">
                  <c:v>31.3</c:v>
                </c:pt>
                <c:pt idx="6">
                  <c:v>0</c:v>
                </c:pt>
                <c:pt idx="7">
                  <c:v>13.4</c:v>
                </c:pt>
                <c:pt idx="8">
                  <c:v>9.7000000000000011</c:v>
                </c:pt>
              </c:numCache>
            </c:numRef>
          </c:val>
        </c:ser>
        <c:shape val="cylinder"/>
        <c:axId val="104848768"/>
        <c:axId val="83727488"/>
        <c:axId val="0"/>
      </c:bar3DChart>
      <c:catAx>
        <c:axId val="104848768"/>
        <c:scaling>
          <c:orientation val="minMax"/>
        </c:scaling>
        <c:axPos val="l"/>
        <c:tickLblPos val="nextTo"/>
        <c:crossAx val="83727488"/>
        <c:crosses val="autoZero"/>
        <c:auto val="1"/>
        <c:lblAlgn val="ctr"/>
        <c:lblOffset val="100"/>
      </c:catAx>
      <c:valAx>
        <c:axId val="83727488"/>
        <c:scaling>
          <c:orientation val="minMax"/>
        </c:scaling>
        <c:axPos val="b"/>
        <c:majorGridlines/>
        <c:numFmt formatCode="General" sourceLinked="1"/>
        <c:tickLblPos val="nextTo"/>
        <c:crossAx val="104848768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84E1-2BEA-4C1A-8BFB-6F7A057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69</cp:revision>
  <cp:lastPrinted>2021-04-22T07:12:00Z</cp:lastPrinted>
  <dcterms:created xsi:type="dcterms:W3CDTF">2018-04-13T11:19:00Z</dcterms:created>
  <dcterms:modified xsi:type="dcterms:W3CDTF">2021-07-13T08:00:00Z</dcterms:modified>
</cp:coreProperties>
</file>